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741520" w:rsidP="005174E4">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5174E4">
        <w:rPr>
          <w:rFonts w:ascii="Times New Roman" w:eastAsia="方正小标宋简体" w:hAnsi="Times New Roman" w:cs="Times New Roman" w:hint="eastAsia"/>
          <w:sz w:val="44"/>
          <w:szCs w:val="44"/>
        </w:rPr>
        <w:t>工商业联合会</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5174E4">
        <w:rPr>
          <w:rFonts w:ascii="Times New Roman" w:eastAsia="仿宋_GB2312" w:hAnsi="Times New Roman" w:cs="Times New Roman" w:hint="eastAsia"/>
          <w:sz w:val="32"/>
          <w:szCs w:val="32"/>
        </w:rPr>
        <w:t>工商业联合会</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5174E4">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、参政议政，参与我县经济、社会重要决策的政治协商，做好非公有制代表人士政治安排的推荐工作。</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、宣传党和国家的方针政策，加强和改进思想政治工作、提高本会会员素质，培养骨干分子队伍。</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、维护本会会员合法权益，向政府反映会员的意见、要求和建议。</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、为本会会员提供市场技术、商品信息，按照国家有关规定，为会员提供管理、法律、会计、审计、融资、咨询等职务。</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、组织本会会员举办和参加对外展销会、交易会、帮助会员开拓国内外市场。</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、为本会会员提供必要的证明，协调关系，为会员和民间企业调解经济纠纷。</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lastRenderedPageBreak/>
        <w:t>7</w:t>
      </w:r>
      <w:r>
        <w:rPr>
          <w:rFonts w:ascii="仿宋" w:eastAsia="仿宋" w:hAnsi="仿宋" w:cs="Times New Roman" w:hint="eastAsia"/>
          <w:sz w:val="32"/>
          <w:szCs w:val="32"/>
        </w:rPr>
        <w:t>、增进与台、港、澳地区和世界各国工商社团的联系和友谊，协助引进资金、技术、人才。</w:t>
      </w:r>
    </w:p>
    <w:p w:rsidR="005174E4" w:rsidRDefault="005174E4" w:rsidP="005174E4">
      <w:pPr>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、承办县委、县政府和有关部门委托事项。</w:t>
      </w:r>
    </w:p>
    <w:p w:rsidR="00D347CC" w:rsidRDefault="00B80935" w:rsidP="005174E4">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trPr>
          <w:trHeight w:val="584"/>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5174E4" w:rsidTr="005174E4">
        <w:trPr>
          <w:trHeight w:val="892"/>
          <w:jc w:val="center"/>
        </w:trPr>
        <w:tc>
          <w:tcPr>
            <w:tcW w:w="4443" w:type="dxa"/>
            <w:shd w:val="clear" w:color="auto" w:fill="auto"/>
            <w:vAlign w:val="center"/>
          </w:tcPr>
          <w:p w:rsidR="005174E4" w:rsidRDefault="005174E4" w:rsidP="001817FD">
            <w:pPr>
              <w:spacing w:line="300" w:lineRule="exact"/>
              <w:jc w:val="left"/>
              <w:rPr>
                <w:rFonts w:ascii="Times New Roman" w:eastAsia="仿宋_GB2312" w:hAnsi="Times New Roman"/>
                <w:b/>
              </w:rPr>
            </w:pPr>
            <w:r>
              <w:rPr>
                <w:rFonts w:ascii="Times New Roman" w:eastAsia="方正书宋_GBK" w:hAnsi="Times New Roman" w:cs="Times New Roman" w:hint="eastAsia"/>
                <w:szCs w:val="24"/>
              </w:rPr>
              <w:t>香河县工商业联合会</w:t>
            </w:r>
          </w:p>
        </w:tc>
        <w:tc>
          <w:tcPr>
            <w:tcW w:w="1134" w:type="dxa"/>
            <w:shd w:val="clear" w:color="auto" w:fill="auto"/>
            <w:vAlign w:val="center"/>
          </w:tcPr>
          <w:p w:rsidR="005174E4" w:rsidRDefault="005174E4" w:rsidP="001817FD">
            <w:pPr>
              <w:spacing w:line="300" w:lineRule="exact"/>
              <w:jc w:val="left"/>
              <w:rPr>
                <w:rFonts w:ascii="Times New Roman" w:eastAsia="仿宋_GB2312" w:hAnsi="Times New Roman"/>
                <w:b/>
              </w:rPr>
            </w:pPr>
            <w:r>
              <w:rPr>
                <w:rFonts w:ascii="Times New Roman" w:eastAsia="方正书宋_GBK" w:hAnsi="Times New Roman" w:cs="Times New Roman" w:hint="eastAsia"/>
                <w:szCs w:val="24"/>
              </w:rPr>
              <w:t>行政</w:t>
            </w:r>
          </w:p>
        </w:tc>
        <w:tc>
          <w:tcPr>
            <w:tcW w:w="1276" w:type="dxa"/>
            <w:shd w:val="clear" w:color="auto" w:fill="auto"/>
            <w:vAlign w:val="center"/>
          </w:tcPr>
          <w:p w:rsidR="005174E4" w:rsidRDefault="005174E4" w:rsidP="001817FD">
            <w:pPr>
              <w:spacing w:line="300" w:lineRule="exact"/>
              <w:jc w:val="left"/>
              <w:rPr>
                <w:rFonts w:ascii="Times New Roman" w:eastAsia="仿宋_GB2312" w:hAnsi="Times New Roman"/>
                <w:b/>
              </w:rPr>
            </w:pPr>
            <w:r>
              <w:rPr>
                <w:rFonts w:ascii="Times New Roman" w:eastAsia="方正书宋_GBK" w:hAnsi="Times New Roman" w:cs="Times New Roman" w:hint="eastAsia"/>
                <w:szCs w:val="24"/>
              </w:rPr>
              <w:t>正科级</w:t>
            </w:r>
          </w:p>
        </w:tc>
        <w:tc>
          <w:tcPr>
            <w:tcW w:w="2902" w:type="dxa"/>
            <w:shd w:val="clear" w:color="auto" w:fill="auto"/>
            <w:vAlign w:val="center"/>
          </w:tcPr>
          <w:p w:rsidR="005174E4" w:rsidRDefault="005174E4" w:rsidP="001817FD">
            <w:pPr>
              <w:spacing w:line="300" w:lineRule="exact"/>
              <w:jc w:val="left"/>
              <w:rPr>
                <w:rFonts w:ascii="Times New Roman" w:eastAsia="仿宋_GB2312" w:hAnsi="Times New Roman"/>
                <w:b/>
              </w:rPr>
            </w:pPr>
            <w:r>
              <w:rPr>
                <w:rFonts w:ascii="Times New Roman" w:eastAsia="方正书宋_GBK" w:hAnsi="Times New Roman" w:cs="Times New Roman" w:hint="eastAsia"/>
                <w:szCs w:val="24"/>
              </w:rPr>
              <w:t>财政拨款</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5174E4" w:rsidRDefault="005174E4" w:rsidP="005174E4">
      <w:pPr>
        <w:spacing w:line="584"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按照预算管理有关规定，目前我县部门预算的编制实行综合预算制度，即全部收入和支出都反映在预算中。</w:t>
      </w:r>
      <w:r>
        <w:rPr>
          <w:rFonts w:ascii="仿宋" w:eastAsia="仿宋" w:hAnsi="仿宋" w:hint="eastAsia"/>
          <w:sz w:val="32"/>
          <w:szCs w:val="32"/>
        </w:rPr>
        <w:t>本单位无下属单位，</w:t>
      </w:r>
      <w:r>
        <w:rPr>
          <w:rFonts w:ascii="仿宋" w:eastAsia="仿宋" w:hAnsi="仿宋" w:cs="Times New Roman" w:hint="eastAsia"/>
          <w:sz w:val="32"/>
          <w:szCs w:val="32"/>
        </w:rPr>
        <w:t>只包括本单位预算，不包含下属单位预算在汇总预算中。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5174E4">
        <w:rPr>
          <w:rFonts w:ascii="Times New Roman" w:eastAsia="仿宋_GB2312" w:hAnsi="Times New Roman" w:cs="Times New Roman" w:hint="eastAsia"/>
          <w:sz w:val="32"/>
          <w:szCs w:val="32"/>
        </w:rPr>
        <w:t>187.33</w:t>
      </w:r>
      <w:r>
        <w:rPr>
          <w:rFonts w:ascii="Times New Roman" w:eastAsia="仿宋_GB2312" w:hAnsi="Times New Roman" w:cs="Times New Roman"/>
          <w:sz w:val="32"/>
          <w:szCs w:val="32"/>
        </w:rPr>
        <w:t>万元，其中：一般公共预算收入</w:t>
      </w:r>
      <w:r w:rsidR="005174E4">
        <w:rPr>
          <w:rFonts w:ascii="Times New Roman" w:eastAsia="仿宋_GB2312" w:hAnsi="Times New Roman" w:cs="Times New Roman" w:hint="eastAsia"/>
          <w:sz w:val="32"/>
          <w:szCs w:val="32"/>
        </w:rPr>
        <w:t>186.4</w:t>
      </w:r>
      <w:r>
        <w:rPr>
          <w:rFonts w:ascii="Times New Roman" w:eastAsia="仿宋_GB2312" w:hAnsi="Times New Roman" w:cs="Times New Roman"/>
          <w:sz w:val="32"/>
          <w:szCs w:val="32"/>
        </w:rPr>
        <w:t>万元，基金预算收入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5174E4">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5174E4">
        <w:rPr>
          <w:rFonts w:ascii="Times New Roman" w:eastAsia="仿宋_GB2312" w:hAnsi="Times New Roman" w:cs="Times New Roman" w:hint="eastAsia"/>
          <w:sz w:val="32"/>
          <w:szCs w:val="32"/>
        </w:rPr>
        <w:t>0.93</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A05D86" w:rsidRDefault="00B80935">
      <w:pPr>
        <w:spacing w:line="584" w:lineRule="exact"/>
        <w:ind w:firstLine="640"/>
        <w:rPr>
          <w:rFonts w:ascii="Times New Roman" w:eastAsia="仿宋_GB2312" w:hAnsi="Times New Roman" w:cs="Times New Roman" w:hint="eastAsia"/>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w:t>
      </w:r>
      <w:r w:rsidR="00741520">
        <w:rPr>
          <w:rFonts w:ascii="Times New Roman" w:eastAsia="仿宋_GB2312" w:hAnsi="Times New Roman" w:cs="Times New Roman"/>
          <w:sz w:val="32"/>
          <w:szCs w:val="32"/>
        </w:rPr>
        <w:lastRenderedPageBreak/>
        <w:t>河县</w:t>
      </w:r>
      <w:r w:rsidR="005174E4">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5174E4">
        <w:rPr>
          <w:rFonts w:ascii="Times New Roman" w:eastAsia="仿宋_GB2312" w:hAnsi="Times New Roman" w:cs="Times New Roman" w:hint="eastAsia"/>
          <w:sz w:val="32"/>
          <w:szCs w:val="32"/>
        </w:rPr>
        <w:t>187.33</w:t>
      </w:r>
      <w:r>
        <w:rPr>
          <w:rFonts w:ascii="Times New Roman" w:eastAsia="仿宋_GB2312" w:hAnsi="Times New Roman" w:cs="Times New Roman"/>
          <w:sz w:val="32"/>
          <w:szCs w:val="32"/>
        </w:rPr>
        <w:t>万元，其中基本支出</w:t>
      </w:r>
      <w:r w:rsidR="005174E4">
        <w:rPr>
          <w:rFonts w:ascii="Times New Roman" w:eastAsia="仿宋_GB2312" w:hAnsi="Times New Roman" w:cs="Times New Roman" w:hint="eastAsia"/>
          <w:sz w:val="32"/>
          <w:szCs w:val="32"/>
        </w:rPr>
        <w:t>179.33</w:t>
      </w:r>
      <w:r>
        <w:rPr>
          <w:rFonts w:ascii="Times New Roman" w:eastAsia="仿宋_GB2312" w:hAnsi="Times New Roman" w:cs="Times New Roman"/>
          <w:sz w:val="32"/>
          <w:szCs w:val="32"/>
        </w:rPr>
        <w:t>万元，包括人员类项目经费</w:t>
      </w:r>
      <w:r w:rsidR="00A05D86">
        <w:rPr>
          <w:rFonts w:ascii="Times New Roman" w:eastAsia="仿宋_GB2312" w:hAnsi="Times New Roman" w:cs="Times New Roman" w:hint="eastAsia"/>
          <w:sz w:val="32"/>
          <w:szCs w:val="32"/>
        </w:rPr>
        <w:t>160.95</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A05D86">
        <w:rPr>
          <w:rFonts w:ascii="Times New Roman" w:eastAsia="仿宋_GB2312" w:hAnsi="Times New Roman" w:cs="Times New Roman" w:hint="eastAsia"/>
          <w:sz w:val="32"/>
          <w:szCs w:val="32"/>
        </w:rPr>
        <w:t>18.38</w:t>
      </w:r>
      <w:r>
        <w:rPr>
          <w:rFonts w:ascii="Times New Roman" w:eastAsia="仿宋_GB2312" w:hAnsi="Times New Roman" w:cs="Times New Roman"/>
          <w:sz w:val="32"/>
          <w:szCs w:val="32"/>
        </w:rPr>
        <w:t>万元；运转类其他及特定目标类项目支出</w:t>
      </w:r>
      <w:r w:rsidR="005174E4">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万元，</w:t>
      </w:r>
      <w:r w:rsidR="00A05D86">
        <w:rPr>
          <w:rFonts w:ascii="Times New Roman" w:eastAsia="仿宋_GB2312" w:hAnsi="Times New Roman" w:hint="eastAsia"/>
          <w:sz w:val="32"/>
          <w:szCs w:val="32"/>
        </w:rPr>
        <w:t>全部为本级支出</w:t>
      </w:r>
      <w:r>
        <w:rPr>
          <w:rFonts w:ascii="Times New Roman" w:eastAsia="仿宋_GB2312" w:hAnsi="Times New Roman" w:cs="Times New Roman"/>
          <w:sz w:val="32"/>
          <w:szCs w:val="32"/>
        </w:rPr>
        <w:t>，主要为</w:t>
      </w:r>
      <w:r w:rsidR="00A05D86">
        <w:rPr>
          <w:rFonts w:ascii="仿宋" w:eastAsia="仿宋" w:hAnsi="仿宋" w:cs="Times New Roman" w:hint="eastAsia"/>
          <w:sz w:val="32"/>
          <w:szCs w:val="32"/>
        </w:rPr>
        <w:t>会员服务、日常运行业务经费</w:t>
      </w:r>
      <w:r>
        <w:rPr>
          <w:rFonts w:ascii="Times New Roman" w:eastAsia="仿宋_GB2312" w:hAnsi="Times New Roman" w:cs="Times New Roman"/>
          <w:sz w:val="32"/>
          <w:szCs w:val="32"/>
        </w:rPr>
        <w:t>等</w:t>
      </w:r>
      <w:r w:rsidR="00A05D86">
        <w:rPr>
          <w:rFonts w:ascii="Times New Roman" w:eastAsia="仿宋_GB2312" w:hAnsi="Times New Roman" w:cs="Times New Roman" w:hint="eastAsia"/>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A05D86">
        <w:rPr>
          <w:rFonts w:ascii="Times New Roman" w:eastAsia="仿宋_GB2312" w:hAnsi="Times New Roman" w:cs="Times New Roman" w:hint="eastAsia"/>
          <w:sz w:val="32"/>
          <w:szCs w:val="32"/>
        </w:rPr>
        <w:t>187.33</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A05D86">
        <w:rPr>
          <w:rFonts w:ascii="Times New Roman" w:eastAsia="仿宋_GB2312" w:hAnsi="Times New Roman" w:cs="Times New Roman" w:hint="eastAsia"/>
          <w:sz w:val="32"/>
          <w:szCs w:val="32"/>
        </w:rPr>
        <w:t>12.03</w:t>
      </w:r>
      <w:r>
        <w:rPr>
          <w:rFonts w:ascii="Times New Roman" w:eastAsia="仿宋_GB2312" w:hAnsi="Times New Roman" w:cs="Times New Roman"/>
          <w:sz w:val="32"/>
          <w:szCs w:val="32"/>
        </w:rPr>
        <w:t>万元，其中：基本支出增加</w:t>
      </w:r>
      <w:r w:rsidR="00A05D86">
        <w:rPr>
          <w:rFonts w:ascii="Times New Roman" w:eastAsia="仿宋_GB2312" w:hAnsi="Times New Roman" w:cs="Times New Roman" w:hint="eastAsia"/>
          <w:sz w:val="32"/>
          <w:szCs w:val="32"/>
        </w:rPr>
        <w:t>16.03</w:t>
      </w:r>
      <w:r>
        <w:rPr>
          <w:rFonts w:ascii="Times New Roman" w:eastAsia="仿宋_GB2312" w:hAnsi="Times New Roman" w:cs="Times New Roman"/>
          <w:sz w:val="32"/>
          <w:szCs w:val="32"/>
        </w:rPr>
        <w:t>万元，主要为</w:t>
      </w:r>
      <w:r w:rsidR="00A91B59">
        <w:rPr>
          <w:rFonts w:ascii="仿宋" w:eastAsia="仿宋" w:hAnsi="仿宋" w:cs="Times New Roman" w:hint="eastAsia"/>
          <w:sz w:val="32"/>
          <w:szCs w:val="32"/>
        </w:rPr>
        <w:t>增加人员经费</w:t>
      </w:r>
      <w:r>
        <w:rPr>
          <w:rFonts w:ascii="Times New Roman" w:eastAsia="仿宋_GB2312" w:hAnsi="Times New Roman" w:cs="Times New Roman"/>
          <w:sz w:val="32"/>
          <w:szCs w:val="32"/>
        </w:rPr>
        <w:t>支出；项目支出</w:t>
      </w:r>
      <w:r w:rsidR="00A05D86" w:rsidRPr="00A05D86">
        <w:rPr>
          <w:rFonts w:ascii="Times New Roman" w:eastAsia="仿宋_GB2312" w:hAnsi="Times New Roman" w:cs="Times New Roman"/>
          <w:sz w:val="32"/>
          <w:szCs w:val="32"/>
        </w:rPr>
        <w:t>减少</w:t>
      </w:r>
      <w:r w:rsidR="00A05D86">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万元，主要为</w:t>
      </w:r>
      <w:r w:rsidR="00A91B59">
        <w:rPr>
          <w:rFonts w:ascii="Times New Roman" w:eastAsia="仿宋_GB2312" w:hAnsi="Times New Roman" w:cs="Times New Roman" w:hint="eastAsia"/>
          <w:sz w:val="32"/>
          <w:szCs w:val="32"/>
        </w:rPr>
        <w:t>运转类公用</w:t>
      </w:r>
      <w:r>
        <w:rPr>
          <w:rFonts w:ascii="Times New Roman" w:eastAsia="仿宋_GB2312" w:hAnsi="Times New Roman" w:cs="Times New Roman"/>
          <w:sz w:val="32"/>
          <w:szCs w:val="32"/>
        </w:rPr>
        <w:t>项目支出。</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sidR="00A05D86">
        <w:rPr>
          <w:rFonts w:ascii="Times New Roman" w:eastAsia="仿宋_GB2312" w:hAnsi="Times New Roman" w:cs="Times New Roman"/>
          <w:sz w:val="32"/>
          <w:szCs w:val="32"/>
        </w:rPr>
        <w:t>年，我部门</w:t>
      </w:r>
      <w:r>
        <w:rPr>
          <w:rFonts w:ascii="Times New Roman" w:eastAsia="仿宋_GB2312" w:hAnsi="Times New Roman" w:cs="Times New Roman"/>
          <w:sz w:val="32"/>
          <w:szCs w:val="32"/>
        </w:rPr>
        <w:t>机关运行经费共计安排</w:t>
      </w:r>
      <w:r w:rsidR="00A91B59">
        <w:rPr>
          <w:rFonts w:ascii="Times New Roman" w:eastAsia="仿宋_GB2312" w:hAnsi="Times New Roman" w:cs="Times New Roman" w:hint="eastAsia"/>
          <w:sz w:val="32"/>
          <w:szCs w:val="32"/>
        </w:rPr>
        <w:t>18.38</w:t>
      </w:r>
      <w:r>
        <w:rPr>
          <w:rFonts w:ascii="Times New Roman" w:eastAsia="仿宋_GB2312" w:hAnsi="Times New Roman" w:cs="Times New Roman"/>
          <w:sz w:val="32"/>
          <w:szCs w:val="32"/>
        </w:rPr>
        <w:t>万元，主要用于办公区的日常维修、办公用房水电费、</w:t>
      </w:r>
      <w:r w:rsidR="00A91B59">
        <w:rPr>
          <w:rFonts w:ascii="Times New Roman" w:eastAsia="仿宋_GB2312" w:hAnsi="Times New Roman" w:cs="Times New Roman"/>
          <w:sz w:val="32"/>
          <w:szCs w:val="32"/>
        </w:rPr>
        <w:t>邮电费</w:t>
      </w:r>
      <w:r>
        <w:rPr>
          <w:rFonts w:ascii="Times New Roman" w:eastAsia="仿宋_GB2312" w:hAnsi="Times New Roman" w:cs="Times New Roman"/>
          <w:sz w:val="32"/>
          <w:szCs w:val="32"/>
        </w:rPr>
        <w:t>等日常运行支出。</w:t>
      </w:r>
    </w:p>
    <w:p w:rsidR="00D347CC" w:rsidRDefault="00B80935" w:rsidP="004A54AA">
      <w:pPr>
        <w:autoSpaceDE w:val="0"/>
        <w:autoSpaceDN w:val="0"/>
        <w:adjustRightInd w:val="0"/>
        <w:spacing w:line="584" w:lineRule="exact"/>
        <w:ind w:firstLineChars="196" w:firstLine="630"/>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A05D86" w:rsidRDefault="00B80935" w:rsidP="00A05D86">
      <w:pPr>
        <w:autoSpaceDE w:val="0"/>
        <w:autoSpaceDN w:val="0"/>
        <w:adjustRightInd w:val="0"/>
        <w:spacing w:line="584" w:lineRule="exact"/>
        <w:ind w:leftChars="94" w:left="197" w:firstLineChars="200" w:firstLine="640"/>
        <w:jc w:val="left"/>
        <w:rPr>
          <w:rFonts w:ascii="Times New Roman" w:eastAsia="仿宋_GB2312" w:hAnsi="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sidR="00A05D86">
        <w:rPr>
          <w:rFonts w:ascii="Times New Roman" w:eastAsia="仿宋_GB2312" w:hAnsi="Times New Roman" w:cs="Times New Roman"/>
          <w:sz w:val="32"/>
          <w:szCs w:val="32"/>
        </w:rPr>
        <w:t>年，我部门</w:t>
      </w:r>
      <w:r w:rsidR="00A05D86">
        <w:rPr>
          <w:rFonts w:ascii="Times New Roman" w:eastAsia="仿宋_GB2312" w:hAnsi="Times New Roman"/>
          <w:sz w:val="32"/>
          <w:szCs w:val="32"/>
        </w:rPr>
        <w:t>财政拨款</w:t>
      </w:r>
      <w:r w:rsidR="00A05D86">
        <w:rPr>
          <w:rFonts w:ascii="Times New Roman" w:eastAsia="仿宋_GB2312" w:hAnsi="Times New Roman"/>
          <w:sz w:val="32"/>
          <w:szCs w:val="32"/>
        </w:rPr>
        <w:t>“</w:t>
      </w:r>
      <w:r w:rsidR="00A05D86">
        <w:rPr>
          <w:rFonts w:ascii="Times New Roman" w:eastAsia="仿宋_GB2312" w:hAnsi="Times New Roman"/>
          <w:sz w:val="32"/>
          <w:szCs w:val="32"/>
        </w:rPr>
        <w:t>三公</w:t>
      </w:r>
      <w:r w:rsidR="00A05D86">
        <w:rPr>
          <w:rFonts w:ascii="Times New Roman" w:eastAsia="仿宋_GB2312" w:hAnsi="Times New Roman"/>
          <w:sz w:val="32"/>
          <w:szCs w:val="32"/>
        </w:rPr>
        <w:t>”</w:t>
      </w:r>
      <w:r w:rsidR="00A05D86">
        <w:rPr>
          <w:rFonts w:ascii="Times New Roman" w:eastAsia="仿宋_GB2312" w:hAnsi="Times New Roman"/>
          <w:sz w:val="32"/>
          <w:szCs w:val="32"/>
        </w:rPr>
        <w:t>经费预算安排</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w:t>
      </w:r>
      <w:r w:rsidR="00A05D86">
        <w:rPr>
          <w:rFonts w:ascii="Times New Roman" w:eastAsia="仿宋_GB2312" w:hAnsi="Times New Roman" w:hint="eastAsia"/>
          <w:sz w:val="32"/>
          <w:szCs w:val="32"/>
        </w:rPr>
        <w:t>。</w:t>
      </w:r>
      <w:r w:rsidR="00A05D86">
        <w:rPr>
          <w:rFonts w:ascii="Times New Roman" w:eastAsia="仿宋_GB2312" w:hAnsi="Times New Roman"/>
          <w:sz w:val="32"/>
          <w:szCs w:val="32"/>
        </w:rPr>
        <w:t>其中</w:t>
      </w:r>
      <w:r w:rsidR="00A05D86">
        <w:rPr>
          <w:rFonts w:ascii="Times New Roman" w:eastAsia="仿宋_GB2312" w:hAnsi="Times New Roman" w:hint="eastAsia"/>
          <w:sz w:val="32"/>
          <w:szCs w:val="32"/>
        </w:rPr>
        <w:t>，</w:t>
      </w:r>
      <w:r w:rsidR="00A05D86">
        <w:rPr>
          <w:rFonts w:ascii="Times New Roman" w:eastAsia="仿宋_GB2312" w:hAnsi="Times New Roman"/>
          <w:sz w:val="32"/>
          <w:szCs w:val="32"/>
        </w:rPr>
        <w:t>因公出国（境）费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万元；公务用车购置及运维费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万元（其中：公务用车购置费为</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万元，公务用车运维费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w:t>
      </w:r>
      <w:r w:rsidR="00A05D86">
        <w:rPr>
          <w:rFonts w:ascii="Times New Roman" w:eastAsia="仿宋_GB2312" w:hAnsi="Times New Roman"/>
          <w:sz w:val="32"/>
          <w:szCs w:val="32"/>
        </w:rPr>
        <w:t>)</w:t>
      </w:r>
      <w:r w:rsidR="00A05D86">
        <w:rPr>
          <w:rFonts w:ascii="Times New Roman" w:eastAsia="仿宋_GB2312" w:hAnsi="Times New Roman"/>
          <w:sz w:val="32"/>
          <w:szCs w:val="32"/>
        </w:rPr>
        <w:t>；公务接待费</w:t>
      </w:r>
      <w:r w:rsidR="00A05D86">
        <w:rPr>
          <w:rFonts w:ascii="Times New Roman" w:eastAsia="仿宋_GB2312" w:hAnsi="Times New Roman" w:hint="eastAsia"/>
          <w:sz w:val="32"/>
          <w:szCs w:val="32"/>
        </w:rPr>
        <w:t>0</w:t>
      </w:r>
      <w:r w:rsidR="00A05D86">
        <w:rPr>
          <w:rFonts w:ascii="Times New Roman" w:eastAsia="仿宋_GB2312" w:hAnsi="Times New Roman"/>
          <w:sz w:val="32"/>
          <w:szCs w:val="32"/>
        </w:rPr>
        <w:t>万元。与</w:t>
      </w:r>
      <w:r w:rsidR="00436881">
        <w:rPr>
          <w:rFonts w:ascii="Times New Roman" w:eastAsia="仿宋_GB2312" w:hAnsi="Times New Roman"/>
          <w:sz w:val="32"/>
          <w:szCs w:val="32"/>
        </w:rPr>
        <w:t>20</w:t>
      </w:r>
      <w:r w:rsidR="00436881">
        <w:rPr>
          <w:rFonts w:ascii="Times New Roman" w:eastAsia="仿宋_GB2312" w:hAnsi="Times New Roman" w:hint="eastAsia"/>
          <w:sz w:val="32"/>
          <w:szCs w:val="32"/>
        </w:rPr>
        <w:t>20</w:t>
      </w:r>
      <w:r w:rsidR="00A05D86">
        <w:rPr>
          <w:rFonts w:ascii="Times New Roman" w:eastAsia="仿宋_GB2312" w:hAnsi="Times New Roman"/>
          <w:sz w:val="32"/>
          <w:szCs w:val="32"/>
        </w:rPr>
        <w:t>年</w:t>
      </w:r>
      <w:r w:rsidR="00A05D86">
        <w:rPr>
          <w:rFonts w:ascii="Times New Roman" w:eastAsia="仿宋_GB2312" w:hAnsi="Times New Roman" w:hint="eastAsia"/>
          <w:sz w:val="32"/>
          <w:szCs w:val="32"/>
        </w:rPr>
        <w:t>相比</w:t>
      </w:r>
      <w:r w:rsidR="00A05D86">
        <w:rPr>
          <w:rFonts w:ascii="Times New Roman" w:eastAsia="仿宋_GB2312" w:hAnsi="Times New Roman"/>
          <w:sz w:val="32"/>
          <w:szCs w:val="32"/>
        </w:rPr>
        <w:t>持平，</w:t>
      </w:r>
      <w:r w:rsidR="00A05D86">
        <w:rPr>
          <w:rFonts w:ascii="Times New Roman" w:eastAsia="仿宋_GB2312" w:hAnsi="Times New Roman" w:hint="eastAsia"/>
          <w:sz w:val="32"/>
          <w:szCs w:val="32"/>
        </w:rPr>
        <w:t>无增减变化</w:t>
      </w:r>
      <w:r w:rsidR="00A05D86">
        <w:rPr>
          <w:rFonts w:ascii="Times New Roman" w:eastAsia="仿宋_GB2312" w:hAnsi="Times New Roman" w:hint="eastAsia"/>
          <w:sz w:val="32"/>
          <w:szCs w:val="32"/>
        </w:rPr>
        <w:t>;</w:t>
      </w:r>
      <w:r w:rsidR="00A05D86">
        <w:rPr>
          <w:rFonts w:ascii="仿宋" w:eastAsia="仿宋" w:hAnsi="仿宋" w:cs="Times New Roman" w:hint="eastAsia"/>
          <w:sz w:val="32"/>
          <w:szCs w:val="32"/>
        </w:rPr>
        <w:t>其中因公出国（境）费</w:t>
      </w:r>
      <w:r w:rsidR="00A05D86">
        <w:rPr>
          <w:rFonts w:ascii="仿宋" w:eastAsia="仿宋" w:hAnsi="仿宋" w:cs="Times New Roman"/>
          <w:sz w:val="32"/>
          <w:szCs w:val="32"/>
        </w:rPr>
        <w:t>0</w:t>
      </w:r>
      <w:r w:rsidR="00A05D86">
        <w:rPr>
          <w:rFonts w:ascii="仿宋" w:eastAsia="仿宋" w:hAnsi="仿宋" w:cs="Times New Roman" w:hint="eastAsia"/>
          <w:sz w:val="32"/>
          <w:szCs w:val="32"/>
        </w:rPr>
        <w:t>万元，与</w:t>
      </w:r>
      <w:r w:rsidR="00436881">
        <w:rPr>
          <w:rFonts w:ascii="仿宋" w:eastAsia="仿宋" w:hAnsi="仿宋" w:cs="Times New Roman"/>
          <w:sz w:val="32"/>
          <w:szCs w:val="32"/>
        </w:rPr>
        <w:t>20</w:t>
      </w:r>
      <w:r w:rsidR="00436881">
        <w:rPr>
          <w:rFonts w:ascii="仿宋" w:eastAsia="仿宋" w:hAnsi="仿宋" w:cs="Times New Roman" w:hint="eastAsia"/>
          <w:sz w:val="32"/>
          <w:szCs w:val="32"/>
        </w:rPr>
        <w:t>20</w:t>
      </w:r>
      <w:r w:rsidR="00A05D86">
        <w:rPr>
          <w:rFonts w:ascii="仿宋" w:eastAsia="仿宋" w:hAnsi="仿宋" w:cs="Times New Roman" w:hint="eastAsia"/>
          <w:sz w:val="32"/>
          <w:szCs w:val="32"/>
        </w:rPr>
        <w:t>年持平，无增减变化；公务用车购置及运维费</w:t>
      </w:r>
      <w:r w:rsidR="00A05D86">
        <w:rPr>
          <w:rFonts w:ascii="仿宋" w:eastAsia="仿宋" w:hAnsi="仿宋" w:cs="Times New Roman"/>
          <w:sz w:val="32"/>
          <w:szCs w:val="32"/>
        </w:rPr>
        <w:t>0</w:t>
      </w:r>
      <w:r w:rsidR="00A05D86">
        <w:rPr>
          <w:rFonts w:ascii="仿宋" w:eastAsia="仿宋" w:hAnsi="仿宋" w:cs="Times New Roman" w:hint="eastAsia"/>
          <w:sz w:val="32"/>
          <w:szCs w:val="32"/>
        </w:rPr>
        <w:t>万元（其中：公务用车购置费为</w:t>
      </w:r>
      <w:r w:rsidR="00A05D86">
        <w:rPr>
          <w:rFonts w:ascii="仿宋" w:eastAsia="仿宋" w:hAnsi="仿宋" w:cs="Times New Roman"/>
          <w:sz w:val="32"/>
          <w:szCs w:val="32"/>
        </w:rPr>
        <w:t>0</w:t>
      </w:r>
      <w:r w:rsidR="00A05D86">
        <w:rPr>
          <w:rFonts w:ascii="仿宋" w:eastAsia="仿宋" w:hAnsi="仿宋" w:cs="Times New Roman" w:hint="eastAsia"/>
          <w:sz w:val="32"/>
          <w:szCs w:val="32"/>
        </w:rPr>
        <w:t>万元，公务用车运行费</w:t>
      </w:r>
      <w:r w:rsidR="00A05D86">
        <w:rPr>
          <w:rFonts w:ascii="仿宋" w:eastAsia="仿宋" w:hAnsi="仿宋" w:cs="Times New Roman"/>
          <w:sz w:val="32"/>
          <w:szCs w:val="32"/>
        </w:rPr>
        <w:t>0</w:t>
      </w:r>
      <w:r w:rsidR="00A05D86">
        <w:rPr>
          <w:rFonts w:ascii="仿宋" w:eastAsia="仿宋" w:hAnsi="仿宋" w:cs="Times New Roman" w:hint="eastAsia"/>
          <w:sz w:val="32"/>
          <w:szCs w:val="32"/>
        </w:rPr>
        <w:t>万元</w:t>
      </w:r>
      <w:r w:rsidR="00A05D86">
        <w:rPr>
          <w:rFonts w:ascii="仿宋" w:eastAsia="仿宋" w:hAnsi="仿宋" w:cs="Times New Roman"/>
          <w:sz w:val="32"/>
          <w:szCs w:val="32"/>
        </w:rPr>
        <w:t>)</w:t>
      </w:r>
      <w:r w:rsidR="00A05D86">
        <w:rPr>
          <w:rFonts w:ascii="仿宋" w:eastAsia="仿宋" w:hAnsi="仿宋" w:cs="Times New Roman" w:hint="eastAsia"/>
          <w:sz w:val="32"/>
          <w:szCs w:val="32"/>
        </w:rPr>
        <w:t>，与</w:t>
      </w:r>
      <w:r w:rsidR="00A05D86">
        <w:rPr>
          <w:rFonts w:ascii="仿宋" w:eastAsia="仿宋" w:hAnsi="仿宋" w:cs="Times New Roman"/>
          <w:sz w:val="32"/>
          <w:szCs w:val="32"/>
        </w:rPr>
        <w:t>2</w:t>
      </w:r>
      <w:r w:rsidR="00436881">
        <w:rPr>
          <w:rFonts w:ascii="仿宋" w:eastAsia="仿宋" w:hAnsi="仿宋" w:cs="Times New Roman"/>
          <w:sz w:val="32"/>
          <w:szCs w:val="32"/>
        </w:rPr>
        <w:t>0</w:t>
      </w:r>
      <w:r w:rsidR="00436881">
        <w:rPr>
          <w:rFonts w:ascii="仿宋" w:eastAsia="仿宋" w:hAnsi="仿宋" w:cs="Times New Roman" w:hint="eastAsia"/>
          <w:sz w:val="32"/>
          <w:szCs w:val="32"/>
        </w:rPr>
        <w:t>20</w:t>
      </w:r>
      <w:r w:rsidR="00A05D86">
        <w:rPr>
          <w:rFonts w:ascii="仿宋" w:eastAsia="仿宋" w:hAnsi="仿宋" w:cs="Times New Roman" w:hint="eastAsia"/>
          <w:sz w:val="32"/>
          <w:szCs w:val="32"/>
        </w:rPr>
        <w:t>年持平，无增减变化；公务接待费</w:t>
      </w:r>
      <w:r w:rsidR="00A05D86">
        <w:rPr>
          <w:rFonts w:ascii="仿宋" w:eastAsia="仿宋" w:hAnsi="仿宋" w:cs="Times New Roman"/>
          <w:sz w:val="32"/>
          <w:szCs w:val="32"/>
        </w:rPr>
        <w:t>0</w:t>
      </w:r>
      <w:r w:rsidR="00A05D86">
        <w:rPr>
          <w:rFonts w:ascii="仿宋" w:eastAsia="仿宋" w:hAnsi="仿宋" w:cs="Times New Roman" w:hint="eastAsia"/>
          <w:sz w:val="32"/>
          <w:szCs w:val="32"/>
        </w:rPr>
        <w:t>万元，与</w:t>
      </w:r>
      <w:r w:rsidR="00A05D86">
        <w:rPr>
          <w:rFonts w:ascii="仿宋" w:eastAsia="仿宋" w:hAnsi="仿宋" w:cs="Times New Roman"/>
          <w:sz w:val="32"/>
          <w:szCs w:val="32"/>
        </w:rPr>
        <w:t>20</w:t>
      </w:r>
      <w:r w:rsidR="00A05D86">
        <w:rPr>
          <w:rFonts w:ascii="仿宋" w:eastAsia="仿宋" w:hAnsi="仿宋" w:cs="Times New Roman" w:hint="eastAsia"/>
          <w:sz w:val="32"/>
          <w:szCs w:val="32"/>
        </w:rPr>
        <w:t>20年持平，无增减变化。</w:t>
      </w:r>
    </w:p>
    <w:p w:rsidR="00D347CC" w:rsidRDefault="00B80935" w:rsidP="00A05D86">
      <w:pPr>
        <w:autoSpaceDE w:val="0"/>
        <w:autoSpaceDN w:val="0"/>
        <w:adjustRightInd w:val="0"/>
        <w:spacing w:line="584" w:lineRule="exact"/>
        <w:ind w:leftChars="94" w:left="197"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一）、围绕发展主题，加强调查研究和参政议政工作。（二）、大力发展新会员，加强工商联基层组织建设。（三）、认真做好招商引资工作，发挥民营企业更大的作用。（四）、强化商会职能，做好为会员服务工作。（五）、加强</w:t>
      </w:r>
      <w:r w:rsidRPr="00452966">
        <w:rPr>
          <w:rFonts w:eastAsia="方正仿宋_GBK"/>
          <w:sz w:val="28"/>
        </w:rPr>
        <w:t>“</w:t>
      </w:r>
      <w:r w:rsidRPr="00452966">
        <w:rPr>
          <w:rFonts w:eastAsia="方正仿宋_GBK"/>
          <w:sz w:val="28"/>
        </w:rPr>
        <w:t>双思</w:t>
      </w:r>
      <w:r w:rsidRPr="00452966">
        <w:rPr>
          <w:rFonts w:eastAsia="方正仿宋_GBK"/>
          <w:sz w:val="28"/>
        </w:rPr>
        <w:t>”</w:t>
      </w:r>
      <w:r w:rsidRPr="00452966">
        <w:rPr>
          <w:rFonts w:eastAsia="方正仿宋_GBK"/>
          <w:sz w:val="28"/>
        </w:rPr>
        <w:t>教育，进一步推动光彩事业的发展。（六）、非公有制经济党建工作。</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运行经费：通过项目的开展实现安排参与非公制企业党建工作，引导非公有制经济人士支持企业党建工作，加强企业文化建设。围绕贯彻落实党的路线方针政策，开展调查研究，密切同非公有制经济人士的联系，畅通非公有制经济代表人士有序参与政治生活和社会事物的渠道，帮助其提高议政建言水平，积极反映社情民意，做好非公有制经济代表人士的发现、培养、推荐和管理工作。</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会员服务费：通过项目的开展实现为非公有制企业提供政策咨询、信息、法律、投融资、技术、人才、等方面服务，引导非公有制企业贯彻新发展理念，投身供给侧结构性改革，建立完善现代企业制度战略，保障会员开展思想政治工作、教育培训的实现。</w:t>
      </w:r>
    </w:p>
    <w:p w:rsidR="00D347CC" w:rsidRDefault="00B80935" w:rsidP="005174E4">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91B59" w:rsidRPr="00452966" w:rsidRDefault="00A91B59" w:rsidP="00A91B59">
      <w:pPr>
        <w:spacing w:line="500" w:lineRule="exact"/>
        <w:ind w:firstLineChars="200" w:firstLine="560"/>
        <w:jc w:val="left"/>
        <w:rPr>
          <w:rFonts w:eastAsia="方正仿宋_GBK"/>
          <w:sz w:val="28"/>
        </w:rPr>
      </w:pPr>
      <w:r w:rsidRPr="00452966">
        <w:rPr>
          <w:rFonts w:eastAsia="方正仿宋_GBK"/>
          <w:sz w:val="28"/>
        </w:rPr>
        <w:t>由工商联负责保障实施，现在在开展过程中根据《香河县工商业联合会章程》责任分工明确，管理制度到位，部门协同顺畅对项目进行保障。</w:t>
      </w:r>
    </w:p>
    <w:p w:rsidR="00D347CC" w:rsidRDefault="00B80935" w:rsidP="005174E4">
      <w:pPr>
        <w:overflowPunct w:val="0"/>
        <w:adjustRightInd w:val="0"/>
        <w:snapToGrid w:val="0"/>
        <w:spacing w:afterLines="50" w:line="580" w:lineRule="exact"/>
        <w:ind w:firstLineChars="196" w:firstLine="628"/>
        <w:jc w:val="left"/>
        <w:rPr>
          <w:rFonts w:ascii="楷体_GB2312" w:eastAsia="楷体_GB2312" w:cs="Times New Roman"/>
          <w:b/>
          <w:sz w:val="32"/>
          <w:szCs w:val="32"/>
        </w:rPr>
      </w:pPr>
      <w:r>
        <w:rPr>
          <w:rFonts w:ascii="楷体_GB2312" w:eastAsia="楷体_GB2312" w:cs="Times New Roman" w:hint="eastAsia"/>
          <w:b/>
          <w:sz w:val="32"/>
          <w:szCs w:val="32"/>
        </w:rPr>
        <w:lastRenderedPageBreak/>
        <w:t>（四）部门整体支出绩效指标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392"/>
        <w:gridCol w:w="808"/>
        <w:gridCol w:w="1282"/>
        <w:gridCol w:w="2548"/>
        <w:gridCol w:w="6127"/>
        <w:gridCol w:w="371"/>
        <w:gridCol w:w="434"/>
        <w:gridCol w:w="267"/>
        <w:gridCol w:w="1514"/>
      </w:tblGrid>
      <w:tr w:rsidR="00D347CC" w:rsidTr="005E6BDC">
        <w:trPr>
          <w:trHeight w:val="326"/>
          <w:tblHeader/>
          <w:jc w:val="center"/>
        </w:trPr>
        <w:tc>
          <w:tcPr>
            <w:tcW w:w="143"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294"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466"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927"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2229"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389" w:type="pct"/>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551" w:type="pct"/>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rsidTr="005E6BDC">
        <w:trPr>
          <w:trHeight w:val="533"/>
          <w:tblHeader/>
          <w:jc w:val="center"/>
        </w:trPr>
        <w:tc>
          <w:tcPr>
            <w:tcW w:w="143" w:type="pct"/>
            <w:vMerge/>
            <w:tcBorders>
              <w:tl2br w:val="nil"/>
              <w:tr2bl w:val="nil"/>
            </w:tcBorders>
            <w:vAlign w:val="center"/>
          </w:tcPr>
          <w:p w:rsidR="00D347CC" w:rsidRDefault="00D347CC"/>
        </w:tc>
        <w:tc>
          <w:tcPr>
            <w:tcW w:w="294" w:type="pct"/>
            <w:vMerge/>
            <w:tcBorders>
              <w:tl2br w:val="nil"/>
              <w:tr2bl w:val="nil"/>
            </w:tcBorders>
            <w:vAlign w:val="center"/>
          </w:tcPr>
          <w:p w:rsidR="00D347CC" w:rsidRDefault="00D347CC"/>
        </w:tc>
        <w:tc>
          <w:tcPr>
            <w:tcW w:w="466" w:type="pct"/>
            <w:vMerge/>
            <w:tcBorders>
              <w:tl2br w:val="nil"/>
              <w:tr2bl w:val="nil"/>
            </w:tcBorders>
            <w:vAlign w:val="center"/>
          </w:tcPr>
          <w:p w:rsidR="00D347CC" w:rsidRDefault="00D347CC"/>
        </w:tc>
        <w:tc>
          <w:tcPr>
            <w:tcW w:w="927" w:type="pct"/>
            <w:vMerge/>
            <w:tcBorders>
              <w:tl2br w:val="nil"/>
              <w:tr2bl w:val="nil"/>
            </w:tcBorders>
            <w:vAlign w:val="center"/>
          </w:tcPr>
          <w:p w:rsidR="00D347CC" w:rsidRDefault="00D347CC"/>
        </w:tc>
        <w:tc>
          <w:tcPr>
            <w:tcW w:w="2229" w:type="pct"/>
            <w:vMerge/>
            <w:tcBorders>
              <w:tl2br w:val="nil"/>
              <w:tr2bl w:val="nil"/>
            </w:tcBorders>
            <w:vAlign w:val="center"/>
          </w:tcPr>
          <w:p w:rsidR="00D347CC" w:rsidRDefault="00D347CC"/>
        </w:tc>
        <w:tc>
          <w:tcPr>
            <w:tcW w:w="135"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158"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97" w:type="pc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551" w:type="pct"/>
            <w:vMerge/>
            <w:tcBorders>
              <w:tl2br w:val="nil"/>
              <w:tr2bl w:val="nil"/>
            </w:tcBorders>
            <w:vAlign w:val="center"/>
          </w:tcPr>
          <w:p w:rsidR="00D347CC" w:rsidRDefault="00D347CC"/>
        </w:tc>
      </w:tr>
      <w:tr w:rsidR="005E6BDC" w:rsidTr="005E6BDC">
        <w:trPr>
          <w:trHeight w:val="594"/>
          <w:jc w:val="center"/>
        </w:trPr>
        <w:tc>
          <w:tcPr>
            <w:tcW w:w="143" w:type="pct"/>
            <w:vMerge w:val="restart"/>
            <w:tcBorders>
              <w:tl2br w:val="nil"/>
              <w:tr2bl w:val="nil"/>
            </w:tcBorders>
            <w:vAlign w:val="center"/>
          </w:tcPr>
          <w:p w:rsidR="005E6BDC" w:rsidRDefault="005E6BDC">
            <w:pPr>
              <w:widowControl/>
              <w:adjustRightInd w:val="0"/>
              <w:snapToGrid w:val="0"/>
              <w:jc w:val="center"/>
              <w:rPr>
                <w:rFonts w:ascii="方正书宋_GBK" w:eastAsia="方正书宋_GBK"/>
              </w:rPr>
            </w:pPr>
            <w:r>
              <w:rPr>
                <w:rFonts w:ascii="方正书宋_GBK" w:eastAsia="方正书宋_GBK"/>
              </w:rPr>
              <w:t>部门产出</w:t>
            </w:r>
          </w:p>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数量指标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培训场次</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开展培训场次</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质量指标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培训人员参与率</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培训人员参与率</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458"/>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时效指标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组织培训、举办会议</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组织培训、举办会议</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3</w:t>
            </w:r>
            <w:r>
              <w:rPr>
                <w:rFonts w:hint="eastAsia"/>
                <w:sz w:val="18"/>
                <w:szCs w:val="18"/>
              </w:rPr>
              <w:t>次会议为优，大于等于</w:t>
            </w:r>
            <w:r>
              <w:rPr>
                <w:rFonts w:hint="eastAsia"/>
                <w:sz w:val="18"/>
                <w:szCs w:val="18"/>
              </w:rPr>
              <w:t>2</w:t>
            </w:r>
            <w:r>
              <w:rPr>
                <w:rFonts w:hint="eastAsia"/>
                <w:sz w:val="18"/>
                <w:szCs w:val="18"/>
              </w:rPr>
              <w:t>次会议为良，大于等于</w:t>
            </w:r>
            <w:r>
              <w:rPr>
                <w:rFonts w:hint="eastAsia"/>
                <w:sz w:val="18"/>
                <w:szCs w:val="18"/>
              </w:rPr>
              <w:t>1</w:t>
            </w:r>
            <w:r>
              <w:rPr>
                <w:rFonts w:hint="eastAsia"/>
                <w:sz w:val="18"/>
                <w:szCs w:val="18"/>
              </w:rPr>
              <w:t>次会议为中，小于</w:t>
            </w:r>
            <w:r>
              <w:rPr>
                <w:rFonts w:hint="eastAsia"/>
                <w:sz w:val="18"/>
                <w:szCs w:val="18"/>
              </w:rPr>
              <w:t>1</w:t>
            </w:r>
            <w:r>
              <w:rPr>
                <w:rFonts w:hint="eastAsia"/>
                <w:sz w:val="18"/>
                <w:szCs w:val="18"/>
              </w:rPr>
              <w:t>次会议为差。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成本指标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项目预算控制数</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合理控制预算</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小于等于</w:t>
            </w:r>
            <w:r>
              <w:rPr>
                <w:rFonts w:hint="eastAsia"/>
                <w:sz w:val="18"/>
                <w:szCs w:val="18"/>
              </w:rPr>
              <w:t>3</w:t>
            </w:r>
            <w:r>
              <w:rPr>
                <w:rFonts w:hint="eastAsia"/>
                <w:sz w:val="18"/>
                <w:szCs w:val="18"/>
              </w:rPr>
              <w:t>万元为优，小于等于</w:t>
            </w:r>
            <w:r>
              <w:rPr>
                <w:rFonts w:hint="eastAsia"/>
                <w:sz w:val="18"/>
                <w:szCs w:val="18"/>
              </w:rPr>
              <w:t>2</w:t>
            </w:r>
            <w:r>
              <w:rPr>
                <w:rFonts w:hint="eastAsia"/>
                <w:sz w:val="18"/>
                <w:szCs w:val="18"/>
              </w:rPr>
              <w:t>万元为良，小于等于</w:t>
            </w:r>
            <w:r>
              <w:rPr>
                <w:rFonts w:hint="eastAsia"/>
                <w:sz w:val="18"/>
                <w:szCs w:val="18"/>
              </w:rPr>
              <w:t>1</w:t>
            </w:r>
            <w:r>
              <w:rPr>
                <w:rFonts w:hint="eastAsia"/>
                <w:sz w:val="18"/>
                <w:szCs w:val="18"/>
              </w:rPr>
              <w:t>万元为中，小于</w:t>
            </w:r>
            <w:r>
              <w:rPr>
                <w:rFonts w:hint="eastAsia"/>
                <w:sz w:val="18"/>
                <w:szCs w:val="18"/>
              </w:rPr>
              <w:t>1</w:t>
            </w:r>
            <w:r>
              <w:rPr>
                <w:rFonts w:hint="eastAsia"/>
                <w:sz w:val="18"/>
                <w:szCs w:val="18"/>
              </w:rPr>
              <w:t>万元为差。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文字描述</w:t>
            </w:r>
          </w:p>
        </w:tc>
        <w:tc>
          <w:tcPr>
            <w:tcW w:w="158" w:type="pct"/>
            <w:tcBorders>
              <w:tl2br w:val="nil"/>
              <w:tr2bl w:val="nil"/>
            </w:tcBorders>
            <w:vAlign w:val="center"/>
          </w:tcPr>
          <w:p w:rsidR="005E6BDC" w:rsidRDefault="005E6BDC">
            <w:pPr>
              <w:jc w:val="right"/>
              <w:rPr>
                <w:rFonts w:ascii="宋体" w:hAnsi="宋体" w:cs="宋体"/>
                <w:sz w:val="18"/>
                <w:szCs w:val="18"/>
              </w:rPr>
            </w:pP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预算安排</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预算安排</w:t>
            </w:r>
          </w:p>
        </w:tc>
      </w:tr>
      <w:tr w:rsidR="005E6BDC" w:rsidTr="005E6BDC">
        <w:trPr>
          <w:trHeight w:val="614"/>
          <w:jc w:val="center"/>
        </w:trPr>
        <w:tc>
          <w:tcPr>
            <w:tcW w:w="143" w:type="pct"/>
            <w:vMerge w:val="restart"/>
            <w:tcBorders>
              <w:tl2br w:val="nil"/>
              <w:tr2bl w:val="nil"/>
            </w:tcBorders>
            <w:vAlign w:val="center"/>
          </w:tcPr>
          <w:p w:rsidR="005E6BDC" w:rsidRDefault="005E6BDC">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可持续影响指标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提升工商联形象</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提升形象，持续健康发展</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行业标准</w:t>
            </w:r>
          </w:p>
        </w:tc>
      </w:tr>
      <w:tr w:rsidR="005E6BDC" w:rsidTr="005E6BDC">
        <w:trPr>
          <w:trHeight w:val="61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社会效益指标</w:t>
            </w:r>
          </w:p>
        </w:tc>
        <w:tc>
          <w:tcPr>
            <w:tcW w:w="466"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提升各企业的领导能力</w:t>
            </w:r>
          </w:p>
        </w:tc>
        <w:tc>
          <w:tcPr>
            <w:tcW w:w="927" w:type="pct"/>
            <w:tcBorders>
              <w:tl2br w:val="nil"/>
              <w:tr2bl w:val="nil"/>
            </w:tcBorders>
            <w:vAlign w:val="center"/>
          </w:tcPr>
          <w:p w:rsidR="005E6BDC" w:rsidRDefault="005E6BDC">
            <w:pPr>
              <w:rPr>
                <w:rFonts w:ascii="宋体" w:hAnsi="宋体" w:cs="宋体"/>
                <w:sz w:val="18"/>
                <w:szCs w:val="18"/>
              </w:rPr>
            </w:pPr>
            <w:r>
              <w:rPr>
                <w:rFonts w:hint="eastAsia"/>
                <w:sz w:val="18"/>
                <w:szCs w:val="18"/>
              </w:rPr>
              <w:t>提升各企业的领导能力</w:t>
            </w:r>
          </w:p>
        </w:tc>
        <w:tc>
          <w:tcPr>
            <w:tcW w:w="2229" w:type="pct"/>
            <w:tcBorders>
              <w:tl2br w:val="nil"/>
              <w:tr2bl w:val="nil"/>
            </w:tcBorders>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85.00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取得的实际效果</w:t>
            </w:r>
          </w:p>
        </w:tc>
      </w:tr>
      <w:tr w:rsidR="005E6BDC" w:rsidTr="005E6BDC">
        <w:trPr>
          <w:trHeight w:val="770"/>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服务对象满意度指标</w:t>
            </w:r>
          </w:p>
        </w:tc>
        <w:tc>
          <w:tcPr>
            <w:tcW w:w="466"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参与人员满意度</w:t>
            </w:r>
          </w:p>
        </w:tc>
        <w:tc>
          <w:tcPr>
            <w:tcW w:w="927"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参与人员满意度</w:t>
            </w:r>
          </w:p>
        </w:tc>
        <w:tc>
          <w:tcPr>
            <w:tcW w:w="2229" w:type="pct"/>
            <w:tcBorders>
              <w:tl2br w:val="nil"/>
              <w:tr2bl w:val="nil"/>
            </w:tcBorders>
            <w:noWrap/>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95.00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根据实际调查、询问</w:t>
            </w:r>
          </w:p>
        </w:tc>
      </w:tr>
      <w:tr w:rsidR="005E6BDC" w:rsidTr="005E6BDC">
        <w:trPr>
          <w:trHeight w:val="604"/>
          <w:jc w:val="center"/>
        </w:trPr>
        <w:tc>
          <w:tcPr>
            <w:tcW w:w="143" w:type="pct"/>
            <w:vMerge/>
            <w:tcBorders>
              <w:tl2br w:val="nil"/>
              <w:tr2bl w:val="nil"/>
            </w:tcBorders>
            <w:vAlign w:val="center"/>
          </w:tcPr>
          <w:p w:rsidR="005E6BDC" w:rsidRDefault="005E6BDC"/>
        </w:tc>
        <w:tc>
          <w:tcPr>
            <w:tcW w:w="294" w:type="pct"/>
            <w:tcBorders>
              <w:tl2br w:val="nil"/>
              <w:tr2bl w:val="nil"/>
            </w:tcBorders>
            <w:vAlign w:val="center"/>
          </w:tcPr>
          <w:p w:rsidR="005E6BDC" w:rsidRDefault="005E6BDC">
            <w:pPr>
              <w:rPr>
                <w:rFonts w:ascii="宋体" w:hAnsi="宋体" w:cs="宋体"/>
                <w:sz w:val="18"/>
                <w:szCs w:val="18"/>
              </w:rPr>
            </w:pPr>
            <w:r>
              <w:rPr>
                <w:rFonts w:hint="eastAsia"/>
                <w:sz w:val="18"/>
                <w:szCs w:val="18"/>
              </w:rPr>
              <w:t>数量指标</w:t>
            </w:r>
          </w:p>
        </w:tc>
        <w:tc>
          <w:tcPr>
            <w:tcW w:w="466"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培训场次</w:t>
            </w:r>
          </w:p>
        </w:tc>
        <w:tc>
          <w:tcPr>
            <w:tcW w:w="927" w:type="pct"/>
            <w:tcBorders>
              <w:tl2br w:val="nil"/>
              <w:tr2bl w:val="nil"/>
            </w:tcBorders>
            <w:noWrap/>
            <w:vAlign w:val="center"/>
          </w:tcPr>
          <w:p w:rsidR="005E6BDC" w:rsidRDefault="005E6BDC">
            <w:pPr>
              <w:rPr>
                <w:rFonts w:ascii="宋体" w:hAnsi="宋体" w:cs="宋体"/>
                <w:sz w:val="18"/>
                <w:szCs w:val="18"/>
              </w:rPr>
            </w:pPr>
            <w:r>
              <w:rPr>
                <w:rFonts w:hint="eastAsia"/>
                <w:sz w:val="18"/>
                <w:szCs w:val="18"/>
              </w:rPr>
              <w:t>开展培训场次</w:t>
            </w:r>
          </w:p>
        </w:tc>
        <w:tc>
          <w:tcPr>
            <w:tcW w:w="2229" w:type="pct"/>
            <w:tcBorders>
              <w:tl2br w:val="nil"/>
              <w:tr2bl w:val="nil"/>
            </w:tcBorders>
            <w:noWrap/>
          </w:tcPr>
          <w:p w:rsidR="005E6BDC" w:rsidRDefault="005E6BDC">
            <w:pPr>
              <w:rPr>
                <w:rFonts w:ascii="宋体" w:hAnsi="宋体" w:cs="宋体"/>
                <w:sz w:val="18"/>
                <w:szCs w:val="18"/>
              </w:rPr>
            </w:pPr>
            <w:r>
              <w:rPr>
                <w:rFonts w:hint="eastAsia"/>
                <w:sz w:val="18"/>
                <w:szCs w:val="18"/>
              </w:rPr>
              <w:t>大于等于</w:t>
            </w:r>
            <w:r>
              <w:rPr>
                <w:rFonts w:hint="eastAsia"/>
                <w:sz w:val="18"/>
                <w:szCs w:val="18"/>
              </w:rPr>
              <w:t>95%</w:t>
            </w:r>
            <w:r>
              <w:rPr>
                <w:rFonts w:hint="eastAsia"/>
                <w:sz w:val="18"/>
                <w:szCs w:val="18"/>
              </w:rPr>
              <w:t>为优，大于等于</w:t>
            </w:r>
            <w:r>
              <w:rPr>
                <w:rFonts w:hint="eastAsia"/>
                <w:sz w:val="18"/>
                <w:szCs w:val="18"/>
              </w:rPr>
              <w:t>85%</w:t>
            </w:r>
            <w:r>
              <w:rPr>
                <w:rFonts w:hint="eastAsia"/>
                <w:sz w:val="18"/>
                <w:szCs w:val="18"/>
              </w:rPr>
              <w:t>为良，大于等于</w:t>
            </w:r>
            <w:r>
              <w:rPr>
                <w:rFonts w:hint="eastAsia"/>
                <w:sz w:val="18"/>
                <w:szCs w:val="18"/>
              </w:rPr>
              <w:t>75%</w:t>
            </w:r>
            <w:r>
              <w:rPr>
                <w:rFonts w:hint="eastAsia"/>
                <w:sz w:val="18"/>
                <w:szCs w:val="18"/>
              </w:rPr>
              <w:t>为中，小于</w:t>
            </w:r>
            <w:r>
              <w:rPr>
                <w:rFonts w:hint="eastAsia"/>
                <w:sz w:val="18"/>
                <w:szCs w:val="18"/>
              </w:rPr>
              <w:t>75%</w:t>
            </w:r>
            <w:r>
              <w:rPr>
                <w:rFonts w:hint="eastAsia"/>
                <w:sz w:val="18"/>
                <w:szCs w:val="18"/>
              </w:rPr>
              <w:t>为差。</w:t>
            </w:r>
          </w:p>
        </w:tc>
        <w:tc>
          <w:tcPr>
            <w:tcW w:w="135" w:type="pct"/>
            <w:tcBorders>
              <w:tl2br w:val="nil"/>
              <w:tr2bl w:val="nil"/>
            </w:tcBorders>
            <w:vAlign w:val="center"/>
          </w:tcPr>
          <w:p w:rsidR="005E6BDC" w:rsidRDefault="005E6BDC">
            <w:pPr>
              <w:rPr>
                <w:rFonts w:ascii="宋体" w:hAnsi="宋体" w:cs="宋体"/>
                <w:sz w:val="18"/>
                <w:szCs w:val="18"/>
              </w:rPr>
            </w:pPr>
            <w:r>
              <w:rPr>
                <w:rFonts w:hint="eastAsia"/>
                <w:sz w:val="18"/>
                <w:szCs w:val="18"/>
              </w:rPr>
              <w:t>≥</w:t>
            </w:r>
          </w:p>
        </w:tc>
        <w:tc>
          <w:tcPr>
            <w:tcW w:w="158" w:type="pct"/>
            <w:tcBorders>
              <w:tl2br w:val="nil"/>
              <w:tr2bl w:val="nil"/>
            </w:tcBorders>
            <w:vAlign w:val="center"/>
          </w:tcPr>
          <w:p w:rsidR="005E6BDC" w:rsidRDefault="005E6BDC">
            <w:pPr>
              <w:jc w:val="right"/>
              <w:rPr>
                <w:rFonts w:ascii="宋体" w:hAnsi="宋体" w:cs="宋体"/>
                <w:sz w:val="18"/>
                <w:szCs w:val="18"/>
              </w:rPr>
            </w:pPr>
            <w:r>
              <w:rPr>
                <w:rFonts w:hint="eastAsia"/>
                <w:sz w:val="18"/>
                <w:szCs w:val="18"/>
              </w:rPr>
              <w:t>1.00</w:t>
            </w:r>
          </w:p>
        </w:tc>
        <w:tc>
          <w:tcPr>
            <w:tcW w:w="97" w:type="pct"/>
            <w:tcBorders>
              <w:tl2br w:val="nil"/>
              <w:tr2bl w:val="nil"/>
            </w:tcBorders>
            <w:vAlign w:val="center"/>
          </w:tcPr>
          <w:p w:rsidR="005E6BDC" w:rsidRDefault="005E6BDC">
            <w:pPr>
              <w:rPr>
                <w:rFonts w:ascii="宋体" w:hAnsi="宋体" w:cs="宋体"/>
                <w:sz w:val="18"/>
                <w:szCs w:val="18"/>
              </w:rPr>
            </w:pPr>
            <w:r>
              <w:rPr>
                <w:rFonts w:hint="eastAsia"/>
                <w:sz w:val="18"/>
                <w:szCs w:val="18"/>
              </w:rPr>
              <w:t>次</w:t>
            </w:r>
          </w:p>
        </w:tc>
        <w:tc>
          <w:tcPr>
            <w:tcW w:w="551" w:type="pct"/>
            <w:tcBorders>
              <w:tl2br w:val="nil"/>
              <w:tr2bl w:val="nil"/>
            </w:tcBorders>
            <w:vAlign w:val="center"/>
          </w:tcPr>
          <w:p w:rsidR="005E6BDC" w:rsidRDefault="005E6BDC">
            <w:pPr>
              <w:rPr>
                <w:rFonts w:ascii="宋体" w:hAnsi="宋体" w:cs="宋体"/>
                <w:sz w:val="18"/>
                <w:szCs w:val="18"/>
              </w:rPr>
            </w:pPr>
            <w:r>
              <w:rPr>
                <w:rFonts w:hint="eastAsia"/>
                <w:sz w:val="18"/>
                <w:szCs w:val="18"/>
              </w:rPr>
              <w:t>根据实际组织培训情况</w:t>
            </w:r>
          </w:p>
        </w:tc>
      </w:tr>
    </w:tbl>
    <w:p w:rsidR="00D347CC" w:rsidRDefault="00D347CC"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A91B59" w:rsidRPr="003E6F37" w:rsidRDefault="00A91B59" w:rsidP="00A91B59">
      <w:pPr>
        <w:ind w:firstLineChars="200" w:firstLine="562"/>
        <w:jc w:val="left"/>
        <w:outlineLvl w:val="3"/>
        <w:rPr>
          <w:rFonts w:hAnsi="宋体"/>
          <w:b/>
          <w:sz w:val="28"/>
        </w:rPr>
      </w:pPr>
      <w:bookmarkStart w:id="0" w:name="_Toc67986970"/>
      <w:r w:rsidRPr="003E6F37">
        <w:rPr>
          <w:rFonts w:ascii="方正仿宋_GBK" w:eastAsia="方正仿宋_GBK" w:hint="eastAsia"/>
          <w:b/>
          <w:sz w:val="28"/>
        </w:rPr>
        <w:t>1.会员服务费绩效目标表</w:t>
      </w:r>
      <w:bookmarkEnd w:id="0"/>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1、会员服务费绩效目标表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2350"/>
        <w:gridCol w:w="1932"/>
        <w:gridCol w:w="1890"/>
        <w:gridCol w:w="2520"/>
      </w:tblGrid>
      <w:tr w:rsidR="00A91B59" w:rsidTr="00A91B59">
        <w:tblPrEx>
          <w:tblCellMar>
            <w:top w:w="0" w:type="dxa"/>
            <w:bottom w:w="0" w:type="dxa"/>
          </w:tblCellMar>
        </w:tblPrEx>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A91B59" w:rsidRPr="003E6F37" w:rsidRDefault="00A91B59" w:rsidP="001817FD">
            <w:pPr>
              <w:spacing w:line="300" w:lineRule="exact"/>
              <w:jc w:val="left"/>
              <w:rPr>
                <w:rFonts w:ascii="方正书宋_GBK" w:eastAsia="方正书宋_GBK"/>
                <w:b/>
              </w:rPr>
            </w:pPr>
            <w:r>
              <w:rPr>
                <w:rFonts w:ascii="方正书宋_GBK" w:eastAsia="方正书宋_GBK"/>
                <w:b/>
              </w:rPr>
              <w:t>714001</w:t>
            </w:r>
            <w:r>
              <w:rPr>
                <w:rFonts w:ascii="方正书宋_GBK" w:eastAsia="方正书宋_GBK" w:hint="eastAsia"/>
                <w:b/>
              </w:rPr>
              <w:t>香河县工商业联合会本级</w:t>
            </w:r>
          </w:p>
        </w:tc>
        <w:tc>
          <w:tcPr>
            <w:tcW w:w="904" w:type="pct"/>
            <w:tcBorders>
              <w:top w:val="single" w:sz="6" w:space="0" w:color="FFFFFF"/>
              <w:left w:val="single" w:sz="6" w:space="0" w:color="FFFFFF"/>
              <w:right w:val="single" w:sz="6" w:space="0" w:color="FFFFFF"/>
            </w:tcBorders>
            <w:shd w:val="clear" w:color="auto" w:fill="auto"/>
            <w:vAlign w:val="center"/>
          </w:tcPr>
          <w:p w:rsidR="00A91B59" w:rsidRPr="003E6F37" w:rsidRDefault="00A91B59" w:rsidP="001817FD">
            <w:pPr>
              <w:spacing w:line="300" w:lineRule="exact"/>
              <w:jc w:val="right"/>
              <w:rPr>
                <w:rFonts w:ascii="方正书宋_GBK" w:eastAsia="方正书宋_GBK"/>
              </w:rPr>
            </w:pPr>
            <w:r>
              <w:rPr>
                <w:rFonts w:ascii="方正书宋_GBK" w:eastAsia="方正书宋_GBK" w:hint="eastAsia"/>
              </w:rPr>
              <w:t>单位：万元</w:t>
            </w:r>
          </w:p>
        </w:tc>
      </w:tr>
      <w:tr w:rsidR="00A91B59" w:rsidTr="00A91B59">
        <w:tblPrEx>
          <w:tblCellMar>
            <w:top w:w="0" w:type="dxa"/>
            <w:bottom w:w="0" w:type="dxa"/>
          </w:tblCellMar>
        </w:tblPrEx>
        <w:trPr>
          <w:trHeight w:val="369"/>
          <w:jc w:val="center"/>
        </w:trPr>
        <w:tc>
          <w:tcPr>
            <w:tcW w:w="602"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rPr>
              <w:t>13102421GOVV2IBU1AHHY</w:t>
            </w:r>
          </w:p>
        </w:tc>
        <w:tc>
          <w:tcPr>
            <w:tcW w:w="843"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项目名称</w:t>
            </w:r>
          </w:p>
        </w:tc>
        <w:tc>
          <w:tcPr>
            <w:tcW w:w="2275" w:type="pct"/>
            <w:gridSpan w:val="3"/>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会员服务费</w:t>
            </w:r>
          </w:p>
        </w:tc>
      </w:tr>
      <w:tr w:rsidR="00A91B59" w:rsidTr="00A91B59">
        <w:tblPrEx>
          <w:tblCellMar>
            <w:top w:w="0" w:type="dxa"/>
            <w:bottom w:w="0" w:type="dxa"/>
          </w:tblCellMar>
        </w:tblPrEx>
        <w:trPr>
          <w:trHeight w:val="369"/>
          <w:jc w:val="center"/>
        </w:trPr>
        <w:tc>
          <w:tcPr>
            <w:tcW w:w="602" w:type="pct"/>
            <w:vMerge w:val="restar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rPr>
              <w:t>3.00</w:t>
            </w:r>
          </w:p>
        </w:tc>
        <w:tc>
          <w:tcPr>
            <w:tcW w:w="843"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rPr>
              <w:t>3.00</w:t>
            </w:r>
          </w:p>
        </w:tc>
        <w:tc>
          <w:tcPr>
            <w:tcW w:w="678"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rPr>
              <w:t>0</w:t>
            </w:r>
          </w:p>
        </w:tc>
      </w:tr>
      <w:tr w:rsidR="00A91B59" w:rsidTr="00A91B59">
        <w:tblPrEx>
          <w:tblCellMar>
            <w:top w:w="0" w:type="dxa"/>
            <w:bottom w:w="0" w:type="dxa"/>
          </w:tblCellMar>
        </w:tblPrEx>
        <w:trPr>
          <w:trHeight w:val="369"/>
          <w:jc w:val="center"/>
        </w:trPr>
        <w:tc>
          <w:tcPr>
            <w:tcW w:w="602" w:type="pct"/>
            <w:vMerge/>
            <w:shd w:val="clear" w:color="auto" w:fill="auto"/>
            <w:vAlign w:val="center"/>
          </w:tcPr>
          <w:p w:rsidR="00A91B59" w:rsidRDefault="00A91B59" w:rsidP="001817FD">
            <w:pPr>
              <w:spacing w:line="300" w:lineRule="exact"/>
              <w:jc w:val="left"/>
              <w:outlineLvl w:val="3"/>
            </w:pPr>
          </w:p>
        </w:tc>
        <w:tc>
          <w:tcPr>
            <w:tcW w:w="4398" w:type="pct"/>
            <w:gridSpan w:val="6"/>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通过项目的开展实现为非公有制企业提供政策咨询、信息、法律、投融资、技术、人才、等方面服务，引导非公有制企业贯彻新发展理念，投身供给侧结构性改革，建立完善现代企业制度战略，保障会员开展思想政治工作、教育培训的实现。</w:t>
            </w:r>
          </w:p>
        </w:tc>
      </w:tr>
      <w:tr w:rsidR="00A91B59" w:rsidTr="00A91B59">
        <w:tblPrEx>
          <w:tblCellMar>
            <w:top w:w="0" w:type="dxa"/>
            <w:bottom w:w="0" w:type="dxa"/>
          </w:tblCellMar>
        </w:tblPrEx>
        <w:trPr>
          <w:trHeight w:val="369"/>
          <w:jc w:val="center"/>
        </w:trPr>
        <w:tc>
          <w:tcPr>
            <w:tcW w:w="602" w:type="pct"/>
            <w:vMerge w:val="restar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2" w:type="pct"/>
            <w:gridSpan w:val="2"/>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91B59" w:rsidTr="00A91B59">
        <w:tblPrEx>
          <w:tblCellMar>
            <w:top w:w="0" w:type="dxa"/>
            <w:bottom w:w="0" w:type="dxa"/>
          </w:tblCellMar>
        </w:tblPrEx>
        <w:trPr>
          <w:trHeight w:val="369"/>
          <w:jc w:val="center"/>
        </w:trPr>
        <w:tc>
          <w:tcPr>
            <w:tcW w:w="602" w:type="pct"/>
            <w:vMerge/>
            <w:tcBorders>
              <w:bottom w:val="single" w:sz="6" w:space="0" w:color="000000"/>
            </w:tcBorders>
            <w:shd w:val="clear" w:color="auto" w:fill="auto"/>
            <w:vAlign w:val="center"/>
          </w:tcPr>
          <w:p w:rsidR="00A91B59" w:rsidRDefault="00A91B59" w:rsidP="001817FD">
            <w:pPr>
              <w:spacing w:line="300" w:lineRule="exact"/>
              <w:jc w:val="left"/>
              <w:outlineLvl w:val="3"/>
            </w:pPr>
          </w:p>
        </w:tc>
        <w:tc>
          <w:tcPr>
            <w:tcW w:w="1280" w:type="pct"/>
            <w:gridSpan w:val="2"/>
            <w:tcBorders>
              <w:bottom w:val="single" w:sz="6" w:space="0" w:color="000000"/>
            </w:tcBorders>
            <w:shd w:val="clear" w:color="auto" w:fill="auto"/>
            <w:vAlign w:val="center"/>
          </w:tcPr>
          <w:p w:rsidR="00A91B59" w:rsidRPr="003E6F37" w:rsidRDefault="00A91B59" w:rsidP="001817FD">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A91B59" w:rsidRPr="003E6F37" w:rsidRDefault="00A91B59" w:rsidP="001817FD">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A91B59" w:rsidRPr="003E6F37" w:rsidRDefault="00A91B59" w:rsidP="001817FD">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sz="6" w:space="0" w:color="000000"/>
            </w:tcBorders>
            <w:shd w:val="clear" w:color="auto" w:fill="auto"/>
            <w:vAlign w:val="center"/>
          </w:tcPr>
          <w:p w:rsidR="00A91B59" w:rsidRPr="003E6F37" w:rsidRDefault="00A91B59" w:rsidP="001817FD">
            <w:pPr>
              <w:spacing w:line="300" w:lineRule="exact"/>
              <w:jc w:val="center"/>
              <w:rPr>
                <w:rFonts w:ascii="方正书宋_GBK" w:eastAsia="方正书宋_GBK"/>
              </w:rPr>
            </w:pPr>
            <w:r>
              <w:rPr>
                <w:rFonts w:ascii="方正书宋_GBK" w:eastAsia="方正书宋_GBK"/>
              </w:rPr>
              <w:t>100.00%</w:t>
            </w:r>
          </w:p>
        </w:tc>
      </w:tr>
      <w:tr w:rsidR="00A91B59" w:rsidTr="00A91B59">
        <w:tblPrEx>
          <w:tblCellMar>
            <w:top w:w="0" w:type="dxa"/>
            <w:bottom w:w="0" w:type="dxa"/>
          </w:tblCellMar>
        </w:tblPrEx>
        <w:trPr>
          <w:trHeight w:val="369"/>
          <w:jc w:val="center"/>
        </w:trPr>
        <w:tc>
          <w:tcPr>
            <w:tcW w:w="602" w:type="pct"/>
            <w:tcBorders>
              <w:bottom w:val="nil"/>
            </w:tcBorders>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通过项目的开展思想政治工作、教育培训，实现对会员进行指导、引导和服务。</w:t>
            </w:r>
          </w:p>
        </w:tc>
      </w:tr>
    </w:tbl>
    <w:p w:rsidR="00A91B59" w:rsidRPr="003E6F37" w:rsidRDefault="00A91B59" w:rsidP="00A91B59">
      <w:pPr>
        <w:spacing w:line="14" w:lineRule="exact"/>
        <w:jc w:val="center"/>
        <w:rPr>
          <w:rFonts w:hAnsi="宋体"/>
        </w:rPr>
      </w:pPr>
      <w:r w:rsidRPr="003E6F37">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8"/>
        <w:gridCol w:w="1678"/>
        <w:gridCol w:w="1890"/>
        <w:gridCol w:w="4281"/>
        <w:gridCol w:w="1890"/>
        <w:gridCol w:w="2520"/>
      </w:tblGrid>
      <w:tr w:rsidR="00A91B59" w:rsidTr="00A91B59">
        <w:tblPrEx>
          <w:tblCellMar>
            <w:top w:w="0" w:type="dxa"/>
            <w:bottom w:w="0" w:type="dxa"/>
          </w:tblCellMar>
        </w:tblPrEx>
        <w:trPr>
          <w:cantSplit/>
          <w:trHeight w:val="397"/>
          <w:tblHeader/>
          <w:jc w:val="center"/>
        </w:trPr>
        <w:tc>
          <w:tcPr>
            <w:tcW w:w="602"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A91B59" w:rsidRPr="003E6F37" w:rsidRDefault="00A91B59" w:rsidP="001817FD">
            <w:pPr>
              <w:spacing w:line="300" w:lineRule="exact"/>
              <w:jc w:val="center"/>
              <w:rPr>
                <w:rFonts w:ascii="方正书宋_GBK" w:eastAsia="方正书宋_GBK"/>
                <w:b/>
              </w:rPr>
            </w:pPr>
            <w:r>
              <w:rPr>
                <w:rFonts w:ascii="方正书宋_GBK" w:eastAsia="方正书宋_GBK" w:hint="eastAsia"/>
                <w:b/>
              </w:rPr>
              <w:t>指标值确定依据</w:t>
            </w:r>
          </w:p>
        </w:tc>
      </w:tr>
      <w:tr w:rsidR="00A91B59" w:rsidTr="00A91B59">
        <w:tblPrEx>
          <w:tblCellMar>
            <w:top w:w="0" w:type="dxa"/>
            <w:bottom w:w="0" w:type="dxa"/>
          </w:tblCellMar>
        </w:tblPrEx>
        <w:trPr>
          <w:cantSplit/>
          <w:trHeight w:val="369"/>
          <w:jc w:val="center"/>
        </w:trPr>
        <w:tc>
          <w:tcPr>
            <w:tcW w:w="602" w:type="pct"/>
            <w:vMerge w:val="restart"/>
            <w:shd w:val="clear" w:color="auto" w:fill="auto"/>
            <w:vAlign w:val="center"/>
          </w:tcPr>
          <w:p w:rsidR="00A91B59" w:rsidRPr="003E6F37" w:rsidRDefault="00A91B59" w:rsidP="001817FD">
            <w:pPr>
              <w:spacing w:line="300" w:lineRule="exact"/>
              <w:jc w:val="center"/>
              <w:rPr>
                <w:rFonts w:ascii="方正书宋_GBK" w:eastAsia="方正书宋_GBK"/>
              </w:rPr>
            </w:pPr>
            <w:r w:rsidRPr="003E6F37">
              <w:rPr>
                <w:rFonts w:ascii="方正书宋_GBK" w:eastAsia="方正书宋_GBK" w:hint="eastAsia"/>
              </w:rPr>
              <w:t>产出指标</w:t>
            </w:r>
          </w:p>
        </w:tc>
        <w:tc>
          <w:tcPr>
            <w:tcW w:w="602" w:type="pct"/>
            <w:shd w:val="clear" w:color="auto" w:fill="auto"/>
            <w:vAlign w:val="center"/>
          </w:tcPr>
          <w:p w:rsidR="00A91B59" w:rsidRPr="003E6F37" w:rsidRDefault="00A91B59" w:rsidP="001817FD">
            <w:pPr>
              <w:spacing w:line="300" w:lineRule="exact"/>
              <w:jc w:val="left"/>
              <w:rPr>
                <w:rFonts w:ascii="方正书宋_GBK" w:eastAsia="方正书宋_GBK"/>
              </w:rPr>
            </w:pPr>
            <w:r w:rsidRPr="003E6F37">
              <w:rPr>
                <w:rFonts w:ascii="方正书宋_GBK" w:eastAsia="方正书宋_GBK" w:hint="eastAsia"/>
              </w:rPr>
              <w:t>数量指标</w:t>
            </w:r>
          </w:p>
        </w:tc>
        <w:tc>
          <w:tcPr>
            <w:tcW w:w="678" w:type="pct"/>
            <w:shd w:val="clear" w:color="auto" w:fill="auto"/>
            <w:vAlign w:val="center"/>
          </w:tcPr>
          <w:p w:rsidR="00A91B59" w:rsidRPr="003E6F37" w:rsidRDefault="00A91B59" w:rsidP="001817FD">
            <w:pPr>
              <w:spacing w:line="300" w:lineRule="exact"/>
              <w:jc w:val="left"/>
              <w:rPr>
                <w:rFonts w:ascii="方正书宋_GBK" w:eastAsia="方正书宋_GBK"/>
              </w:rPr>
            </w:pPr>
            <w:r w:rsidRPr="003E6F37">
              <w:rPr>
                <w:rFonts w:ascii="方正书宋_GBK" w:eastAsia="方正书宋_GBK" w:hint="eastAsia"/>
              </w:rPr>
              <w:t>培训场次</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sidRPr="003E6F37">
              <w:rPr>
                <w:rFonts w:ascii="方正书宋_GBK" w:eastAsia="方正书宋_GBK" w:hint="eastAsia"/>
              </w:rPr>
              <w:t>开展培训场次</w:t>
            </w:r>
          </w:p>
        </w:tc>
        <w:tc>
          <w:tcPr>
            <w:tcW w:w="678" w:type="pct"/>
            <w:shd w:val="clear" w:color="auto" w:fill="auto"/>
            <w:vAlign w:val="center"/>
          </w:tcPr>
          <w:p w:rsidR="00A91B59" w:rsidRPr="003E6F37" w:rsidRDefault="00A91B59" w:rsidP="001817FD">
            <w:pPr>
              <w:spacing w:line="300" w:lineRule="exact"/>
              <w:jc w:val="left"/>
              <w:rPr>
                <w:rFonts w:ascii="方正书宋_GBK" w:eastAsia="方正书宋_GBK"/>
              </w:rPr>
            </w:pPr>
            <w:r w:rsidRPr="003E6F37">
              <w:rPr>
                <w:rFonts w:ascii="方正书宋_GBK" w:eastAsia="方正书宋_GBK" w:hint="eastAsia"/>
              </w:rPr>
              <w:t>≥</w:t>
            </w:r>
            <w:r w:rsidRPr="003E6F37">
              <w:rPr>
                <w:rFonts w:ascii="方正书宋_GBK" w:eastAsia="方正书宋_GBK"/>
              </w:rPr>
              <w:t>1</w:t>
            </w:r>
            <w:r w:rsidRPr="003E6F37">
              <w:rPr>
                <w:rFonts w:ascii="方正书宋_GBK" w:eastAsia="方正书宋_GBK" w:hint="eastAsia"/>
              </w:rPr>
              <w:t>次</w:t>
            </w:r>
          </w:p>
        </w:tc>
        <w:tc>
          <w:tcPr>
            <w:tcW w:w="904" w:type="pct"/>
            <w:shd w:val="clear" w:color="auto" w:fill="auto"/>
            <w:vAlign w:val="center"/>
          </w:tcPr>
          <w:p w:rsidR="00A91B59" w:rsidRPr="003E6F37" w:rsidRDefault="00A91B59" w:rsidP="001817FD">
            <w:pPr>
              <w:spacing w:line="300" w:lineRule="exact"/>
              <w:jc w:val="left"/>
              <w:rPr>
                <w:rFonts w:ascii="方正书宋_GBK" w:eastAsia="方正书宋_GBK"/>
              </w:rPr>
            </w:pPr>
            <w:r w:rsidRPr="003E6F37">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培训人员参与率</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培训人员参与率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组织培训、举办会议</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组织培训、举办会议</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项目预算控制数</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合理控制预算</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预算安排</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预算安排</w:t>
            </w:r>
          </w:p>
        </w:tc>
      </w:tr>
      <w:tr w:rsidR="00A91B59" w:rsidTr="00A91B59">
        <w:tblPrEx>
          <w:tblCellMar>
            <w:top w:w="0" w:type="dxa"/>
            <w:bottom w:w="0" w:type="dxa"/>
          </w:tblCellMar>
        </w:tblPrEx>
        <w:trPr>
          <w:cantSplit/>
          <w:trHeight w:val="369"/>
          <w:jc w:val="center"/>
        </w:trPr>
        <w:tc>
          <w:tcPr>
            <w:tcW w:w="602" w:type="pct"/>
            <w:vMerge w:val="restart"/>
            <w:shd w:val="clear" w:color="auto" w:fill="auto"/>
            <w:vAlign w:val="center"/>
          </w:tcPr>
          <w:p w:rsidR="00A91B59" w:rsidRDefault="00A91B59" w:rsidP="001817FD">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提升各企业的领导能力</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提升各企业的领导能力</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取得的实际效果</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提升工商联形象</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提升形象，持续健康发展</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行业标准</w:t>
            </w:r>
          </w:p>
        </w:tc>
      </w:tr>
      <w:tr w:rsidR="00A91B59" w:rsidTr="00A91B59">
        <w:tblPrEx>
          <w:tblCellMar>
            <w:top w:w="0" w:type="dxa"/>
            <w:bottom w:w="0" w:type="dxa"/>
          </w:tblCellMar>
        </w:tblPrEx>
        <w:trPr>
          <w:cantSplit/>
          <w:trHeight w:val="369"/>
          <w:jc w:val="center"/>
        </w:trPr>
        <w:tc>
          <w:tcPr>
            <w:tcW w:w="602" w:type="pct"/>
            <w:shd w:val="clear" w:color="auto" w:fill="auto"/>
            <w:vAlign w:val="center"/>
          </w:tcPr>
          <w:p w:rsidR="00A91B59" w:rsidRDefault="00A91B59" w:rsidP="001817FD">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参与人员满意度</w:t>
            </w:r>
          </w:p>
        </w:tc>
        <w:tc>
          <w:tcPr>
            <w:tcW w:w="1536" w:type="pct"/>
            <w:shd w:val="clear" w:color="auto" w:fill="auto"/>
            <w:vAlign w:val="center"/>
          </w:tcPr>
          <w:p w:rsidR="00A91B59" w:rsidRPr="003E6F37" w:rsidRDefault="00A91B59" w:rsidP="001817FD">
            <w:pPr>
              <w:spacing w:line="300" w:lineRule="exact"/>
              <w:jc w:val="left"/>
              <w:rPr>
                <w:rFonts w:ascii="方正书宋_GBK" w:eastAsia="方正书宋_GBK"/>
              </w:rPr>
            </w:pPr>
            <w:r>
              <w:rPr>
                <w:rFonts w:ascii="方正书宋_GBK" w:eastAsia="方正书宋_GBK" w:hint="eastAsia"/>
              </w:rPr>
              <w:t>参与人员满意度</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根据实际调查、询问</w:t>
            </w:r>
          </w:p>
        </w:tc>
      </w:tr>
    </w:tbl>
    <w:p w:rsidR="00A91B59" w:rsidRDefault="00A91B59" w:rsidP="00A91B59">
      <w:pPr>
        <w:spacing w:line="300" w:lineRule="exact"/>
        <w:jc w:val="left"/>
        <w:sectPr w:rsidR="00A91B59" w:rsidSect="00A91B59">
          <w:pgSz w:w="16839" w:h="11907" w:orient="landscape"/>
          <w:pgMar w:top="1304" w:right="1134" w:bottom="1304" w:left="1984" w:header="851" w:footer="992" w:gutter="0"/>
          <w:cols w:space="425"/>
          <w:docGrid w:type="lines" w:linePitch="312"/>
        </w:sectPr>
      </w:pPr>
    </w:p>
    <w:p w:rsidR="00A91B59" w:rsidRDefault="00A91B59" w:rsidP="00A91B59">
      <w:pPr>
        <w:spacing w:line="300" w:lineRule="exact"/>
        <w:jc w:val="left"/>
      </w:pPr>
    </w:p>
    <w:p w:rsidR="00A91B59" w:rsidRPr="00EC05A3" w:rsidRDefault="00A91B59" w:rsidP="00A91B59">
      <w:pPr>
        <w:ind w:firstLineChars="200" w:firstLine="562"/>
        <w:jc w:val="left"/>
        <w:outlineLvl w:val="3"/>
        <w:rPr>
          <w:rFonts w:hAnsi="宋体"/>
          <w:b/>
          <w:sz w:val="28"/>
        </w:rPr>
      </w:pPr>
      <w:bookmarkStart w:id="1" w:name="_Toc67986971"/>
      <w:r w:rsidRPr="00EC05A3">
        <w:rPr>
          <w:rFonts w:ascii="方正仿宋_GBK" w:eastAsia="方正仿宋_GBK" w:hint="eastAsia"/>
          <w:b/>
          <w:sz w:val="28"/>
        </w:rPr>
        <w:t>2.运行经费绩效目标表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7"/>
        <w:gridCol w:w="1678"/>
        <w:gridCol w:w="1890"/>
        <w:gridCol w:w="2350"/>
        <w:gridCol w:w="1932"/>
        <w:gridCol w:w="1890"/>
        <w:gridCol w:w="2520"/>
      </w:tblGrid>
      <w:tr w:rsidR="00A91B59" w:rsidTr="00A91B59">
        <w:tblPrEx>
          <w:tblCellMar>
            <w:top w:w="0" w:type="dxa"/>
            <w:bottom w:w="0" w:type="dxa"/>
          </w:tblCellMar>
        </w:tblPrEx>
        <w:trPr>
          <w:trHeight w:val="397"/>
          <w:jc w:val="center"/>
        </w:trPr>
        <w:tc>
          <w:tcPr>
            <w:tcW w:w="4096" w:type="pct"/>
            <w:gridSpan w:val="6"/>
            <w:tcBorders>
              <w:top w:val="single" w:sz="6" w:space="0" w:color="FFFFFF"/>
              <w:left w:val="single" w:sz="6" w:space="0" w:color="FFFFFF"/>
              <w:right w:val="single" w:sz="6" w:space="0" w:color="FFFFFF"/>
            </w:tcBorders>
            <w:shd w:val="clear" w:color="auto" w:fill="auto"/>
            <w:vAlign w:val="center"/>
          </w:tcPr>
          <w:p w:rsidR="00A91B59" w:rsidRPr="00EC05A3" w:rsidRDefault="00A91B59" w:rsidP="001817FD">
            <w:pPr>
              <w:spacing w:line="300" w:lineRule="exact"/>
              <w:jc w:val="left"/>
              <w:rPr>
                <w:rFonts w:ascii="方正书宋_GBK" w:eastAsia="方正书宋_GBK"/>
                <w:b/>
              </w:rPr>
            </w:pPr>
            <w:r>
              <w:rPr>
                <w:rFonts w:ascii="方正书宋_GBK" w:eastAsia="方正书宋_GBK"/>
                <w:b/>
              </w:rPr>
              <w:t>714001</w:t>
            </w:r>
            <w:r>
              <w:rPr>
                <w:rFonts w:ascii="方正书宋_GBK" w:eastAsia="方正书宋_GBK" w:hint="eastAsia"/>
                <w:b/>
              </w:rPr>
              <w:t>香河县工商业联合会本级</w:t>
            </w:r>
          </w:p>
        </w:tc>
        <w:tc>
          <w:tcPr>
            <w:tcW w:w="904" w:type="pct"/>
            <w:tcBorders>
              <w:top w:val="single" w:sz="6" w:space="0" w:color="FFFFFF"/>
              <w:left w:val="single" w:sz="6" w:space="0" w:color="FFFFFF"/>
              <w:right w:val="single" w:sz="6" w:space="0" w:color="FFFFFF"/>
            </w:tcBorders>
            <w:shd w:val="clear" w:color="auto" w:fill="auto"/>
            <w:vAlign w:val="center"/>
          </w:tcPr>
          <w:p w:rsidR="00A91B59" w:rsidRPr="00EC05A3" w:rsidRDefault="00A91B59" w:rsidP="001817FD">
            <w:pPr>
              <w:spacing w:line="300" w:lineRule="exact"/>
              <w:jc w:val="right"/>
              <w:rPr>
                <w:rFonts w:ascii="方正书宋_GBK" w:eastAsia="方正书宋_GBK"/>
              </w:rPr>
            </w:pPr>
            <w:r>
              <w:rPr>
                <w:rFonts w:ascii="方正书宋_GBK" w:eastAsia="方正书宋_GBK" w:hint="eastAsia"/>
              </w:rPr>
              <w:t>单位：万元</w:t>
            </w:r>
          </w:p>
        </w:tc>
      </w:tr>
      <w:tr w:rsidR="00A91B59" w:rsidTr="00A91B59">
        <w:tblPrEx>
          <w:tblCellMar>
            <w:top w:w="0" w:type="dxa"/>
            <w:bottom w:w="0" w:type="dxa"/>
          </w:tblCellMar>
        </w:tblPrEx>
        <w:trPr>
          <w:trHeight w:val="369"/>
          <w:jc w:val="center"/>
        </w:trPr>
        <w:tc>
          <w:tcPr>
            <w:tcW w:w="602"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项目编码</w:t>
            </w:r>
          </w:p>
        </w:tc>
        <w:tc>
          <w:tcPr>
            <w:tcW w:w="1280" w:type="pct"/>
            <w:gridSpan w:val="2"/>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rPr>
              <w:t>13102421USV8B752FISXB</w:t>
            </w:r>
          </w:p>
        </w:tc>
        <w:tc>
          <w:tcPr>
            <w:tcW w:w="843"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项目名称</w:t>
            </w:r>
          </w:p>
        </w:tc>
        <w:tc>
          <w:tcPr>
            <w:tcW w:w="2275" w:type="pct"/>
            <w:gridSpan w:val="3"/>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运行经费</w:t>
            </w:r>
          </w:p>
        </w:tc>
      </w:tr>
      <w:tr w:rsidR="00A91B59" w:rsidTr="00A91B59">
        <w:tblPrEx>
          <w:tblCellMar>
            <w:top w:w="0" w:type="dxa"/>
            <w:bottom w:w="0" w:type="dxa"/>
          </w:tblCellMar>
        </w:tblPrEx>
        <w:trPr>
          <w:trHeight w:val="369"/>
          <w:jc w:val="center"/>
        </w:trPr>
        <w:tc>
          <w:tcPr>
            <w:tcW w:w="602" w:type="pct"/>
            <w:vMerge w:val="restar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预算规模及资金用途</w:t>
            </w:r>
          </w:p>
        </w:tc>
        <w:tc>
          <w:tcPr>
            <w:tcW w:w="602"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预算数</w:t>
            </w:r>
          </w:p>
        </w:tc>
        <w:tc>
          <w:tcPr>
            <w:tcW w:w="678"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rPr>
              <w:t>5.00</w:t>
            </w:r>
          </w:p>
        </w:tc>
        <w:tc>
          <w:tcPr>
            <w:tcW w:w="843"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其中：财政资金</w:t>
            </w:r>
          </w:p>
        </w:tc>
        <w:tc>
          <w:tcPr>
            <w:tcW w:w="693"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rPr>
              <w:t>5.00</w:t>
            </w:r>
          </w:p>
        </w:tc>
        <w:tc>
          <w:tcPr>
            <w:tcW w:w="678"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其他资金</w:t>
            </w:r>
          </w:p>
        </w:tc>
        <w:tc>
          <w:tcPr>
            <w:tcW w:w="904"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rPr>
              <w:t>0</w:t>
            </w:r>
          </w:p>
        </w:tc>
      </w:tr>
      <w:tr w:rsidR="00A91B59" w:rsidTr="00A91B59">
        <w:tblPrEx>
          <w:tblCellMar>
            <w:top w:w="0" w:type="dxa"/>
            <w:bottom w:w="0" w:type="dxa"/>
          </w:tblCellMar>
        </w:tblPrEx>
        <w:trPr>
          <w:trHeight w:val="369"/>
          <w:jc w:val="center"/>
        </w:trPr>
        <w:tc>
          <w:tcPr>
            <w:tcW w:w="602" w:type="pct"/>
            <w:vMerge/>
            <w:shd w:val="clear" w:color="auto" w:fill="auto"/>
            <w:vAlign w:val="center"/>
          </w:tcPr>
          <w:p w:rsidR="00A91B59" w:rsidRDefault="00A91B59" w:rsidP="001817FD">
            <w:pPr>
              <w:spacing w:line="300" w:lineRule="exact"/>
              <w:jc w:val="left"/>
              <w:outlineLvl w:val="3"/>
            </w:pPr>
          </w:p>
        </w:tc>
        <w:tc>
          <w:tcPr>
            <w:tcW w:w="4398" w:type="pct"/>
            <w:gridSpan w:val="6"/>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通过项目的开展实现安排参与非公制企业党建工作，引导非公有制经济人士支持企业党建工作，加强企业文化建设。围绕贯彻落实党的路线方针政策，开展调查研究，密切同非公有制经济人士的联系，畅通非公有制经济代表人士有序参与政治生活和社会事物的渠道，帮助其提高议政建言水平，积极反映社情民意，做好非公有制经济代表人士的发现、培养、推荐和管理工作。</w:t>
            </w:r>
          </w:p>
        </w:tc>
      </w:tr>
      <w:tr w:rsidR="00A91B59" w:rsidTr="00A91B59">
        <w:tblPrEx>
          <w:tblCellMar>
            <w:top w:w="0" w:type="dxa"/>
            <w:bottom w:w="0" w:type="dxa"/>
          </w:tblCellMar>
        </w:tblPrEx>
        <w:trPr>
          <w:trHeight w:val="369"/>
          <w:jc w:val="center"/>
        </w:trPr>
        <w:tc>
          <w:tcPr>
            <w:tcW w:w="602" w:type="pct"/>
            <w:vMerge w:val="restar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1280" w:type="pct"/>
            <w:gridSpan w:val="2"/>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843"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693"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1582" w:type="pct"/>
            <w:gridSpan w:val="2"/>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A91B59" w:rsidTr="00A91B59">
        <w:tblPrEx>
          <w:tblCellMar>
            <w:top w:w="0" w:type="dxa"/>
            <w:bottom w:w="0" w:type="dxa"/>
          </w:tblCellMar>
        </w:tblPrEx>
        <w:trPr>
          <w:trHeight w:val="369"/>
          <w:jc w:val="center"/>
        </w:trPr>
        <w:tc>
          <w:tcPr>
            <w:tcW w:w="602" w:type="pct"/>
            <w:vMerge/>
            <w:tcBorders>
              <w:bottom w:val="single" w:sz="6" w:space="0" w:color="000000"/>
            </w:tcBorders>
            <w:shd w:val="clear" w:color="auto" w:fill="auto"/>
            <w:vAlign w:val="center"/>
          </w:tcPr>
          <w:p w:rsidR="00A91B59" w:rsidRDefault="00A91B59" w:rsidP="001817FD">
            <w:pPr>
              <w:spacing w:line="300" w:lineRule="exact"/>
              <w:jc w:val="left"/>
              <w:outlineLvl w:val="3"/>
            </w:pPr>
          </w:p>
        </w:tc>
        <w:tc>
          <w:tcPr>
            <w:tcW w:w="1280" w:type="pct"/>
            <w:gridSpan w:val="2"/>
            <w:tcBorders>
              <w:bottom w:val="single" w:sz="6" w:space="0" w:color="000000"/>
            </w:tcBorders>
            <w:shd w:val="clear" w:color="auto" w:fill="auto"/>
            <w:vAlign w:val="center"/>
          </w:tcPr>
          <w:p w:rsidR="00A91B59" w:rsidRPr="00EC05A3" w:rsidRDefault="00A91B59" w:rsidP="001817FD">
            <w:pPr>
              <w:spacing w:line="300" w:lineRule="exact"/>
              <w:jc w:val="center"/>
              <w:rPr>
                <w:rFonts w:ascii="方正书宋_GBK" w:eastAsia="方正书宋_GBK"/>
              </w:rPr>
            </w:pPr>
            <w:r>
              <w:rPr>
                <w:rFonts w:ascii="方正书宋_GBK" w:eastAsia="方正书宋_GBK"/>
              </w:rPr>
              <w:t>25.00%</w:t>
            </w:r>
          </w:p>
        </w:tc>
        <w:tc>
          <w:tcPr>
            <w:tcW w:w="843" w:type="pct"/>
            <w:tcBorders>
              <w:bottom w:val="single" w:sz="6" w:space="0" w:color="000000"/>
            </w:tcBorders>
            <w:shd w:val="clear" w:color="auto" w:fill="auto"/>
            <w:vAlign w:val="center"/>
          </w:tcPr>
          <w:p w:rsidR="00A91B59" w:rsidRPr="00EC05A3" w:rsidRDefault="00A91B59" w:rsidP="001817FD">
            <w:pPr>
              <w:spacing w:line="300" w:lineRule="exact"/>
              <w:jc w:val="center"/>
              <w:rPr>
                <w:rFonts w:ascii="方正书宋_GBK" w:eastAsia="方正书宋_GBK"/>
              </w:rPr>
            </w:pPr>
            <w:r>
              <w:rPr>
                <w:rFonts w:ascii="方正书宋_GBK" w:eastAsia="方正书宋_GBK"/>
              </w:rPr>
              <w:t>50.00%</w:t>
            </w:r>
          </w:p>
        </w:tc>
        <w:tc>
          <w:tcPr>
            <w:tcW w:w="693" w:type="pct"/>
            <w:tcBorders>
              <w:bottom w:val="single" w:sz="6" w:space="0" w:color="000000"/>
            </w:tcBorders>
            <w:shd w:val="clear" w:color="auto" w:fill="auto"/>
            <w:vAlign w:val="center"/>
          </w:tcPr>
          <w:p w:rsidR="00A91B59" w:rsidRPr="00EC05A3" w:rsidRDefault="00A91B59" w:rsidP="001817FD">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sz="6" w:space="0" w:color="000000"/>
            </w:tcBorders>
            <w:shd w:val="clear" w:color="auto" w:fill="auto"/>
            <w:vAlign w:val="center"/>
          </w:tcPr>
          <w:p w:rsidR="00A91B59" w:rsidRPr="00EC05A3" w:rsidRDefault="00A91B59" w:rsidP="001817FD">
            <w:pPr>
              <w:spacing w:line="300" w:lineRule="exact"/>
              <w:jc w:val="center"/>
              <w:rPr>
                <w:rFonts w:ascii="方正书宋_GBK" w:eastAsia="方正书宋_GBK"/>
              </w:rPr>
            </w:pPr>
            <w:r>
              <w:rPr>
                <w:rFonts w:ascii="方正书宋_GBK" w:eastAsia="方正书宋_GBK"/>
              </w:rPr>
              <w:t>100.00%</w:t>
            </w:r>
          </w:p>
        </w:tc>
      </w:tr>
      <w:tr w:rsidR="00A91B59" w:rsidTr="00A91B59">
        <w:tblPrEx>
          <w:tblCellMar>
            <w:top w:w="0" w:type="dxa"/>
            <w:bottom w:w="0" w:type="dxa"/>
          </w:tblCellMar>
        </w:tblPrEx>
        <w:trPr>
          <w:trHeight w:val="369"/>
          <w:jc w:val="center"/>
        </w:trPr>
        <w:tc>
          <w:tcPr>
            <w:tcW w:w="602" w:type="pct"/>
            <w:tcBorders>
              <w:bottom w:val="nil"/>
            </w:tcBorders>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绩效目标</w:t>
            </w:r>
          </w:p>
        </w:tc>
        <w:tc>
          <w:tcPr>
            <w:tcW w:w="4398" w:type="pct"/>
            <w:gridSpan w:val="6"/>
            <w:tcBorders>
              <w:bottom w:val="nil"/>
            </w:tcBorders>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通过项目的开展完成给更多的非公有制经济人士更多的培训机会，实现对非公有制经济人士的培养。</w:t>
            </w:r>
          </w:p>
        </w:tc>
      </w:tr>
    </w:tbl>
    <w:p w:rsidR="00A91B59" w:rsidRPr="00EC05A3" w:rsidRDefault="00A91B59" w:rsidP="00A91B59">
      <w:pPr>
        <w:spacing w:line="14" w:lineRule="exact"/>
        <w:jc w:val="center"/>
        <w:rPr>
          <w:rFonts w:hAnsi="宋体"/>
        </w:rPr>
      </w:pPr>
      <w:r w:rsidRPr="00EC05A3">
        <w:rPr>
          <w:rFonts w:ascii="方正书宋_GBK" w:eastAsia="方正书宋_GBK"/>
        </w:rPr>
        <w:t xml:space="preserve"> </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78"/>
        <w:gridCol w:w="1678"/>
        <w:gridCol w:w="1890"/>
        <w:gridCol w:w="4281"/>
        <w:gridCol w:w="1890"/>
        <w:gridCol w:w="2520"/>
      </w:tblGrid>
      <w:tr w:rsidR="00A91B59" w:rsidTr="00A91B59">
        <w:tblPrEx>
          <w:tblCellMar>
            <w:top w:w="0" w:type="dxa"/>
            <w:bottom w:w="0" w:type="dxa"/>
          </w:tblCellMar>
        </w:tblPrEx>
        <w:trPr>
          <w:cantSplit/>
          <w:trHeight w:val="397"/>
          <w:tblHeader/>
          <w:jc w:val="center"/>
        </w:trPr>
        <w:tc>
          <w:tcPr>
            <w:tcW w:w="602"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一级指标</w:t>
            </w:r>
          </w:p>
        </w:tc>
        <w:tc>
          <w:tcPr>
            <w:tcW w:w="602"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二级指标</w:t>
            </w:r>
          </w:p>
        </w:tc>
        <w:tc>
          <w:tcPr>
            <w:tcW w:w="678"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三级指标</w:t>
            </w:r>
          </w:p>
        </w:tc>
        <w:tc>
          <w:tcPr>
            <w:tcW w:w="1536"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绩效指标描述</w:t>
            </w:r>
          </w:p>
        </w:tc>
        <w:tc>
          <w:tcPr>
            <w:tcW w:w="678"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指标值</w:t>
            </w:r>
          </w:p>
        </w:tc>
        <w:tc>
          <w:tcPr>
            <w:tcW w:w="904" w:type="pct"/>
            <w:shd w:val="clear" w:color="auto" w:fill="auto"/>
            <w:vAlign w:val="center"/>
          </w:tcPr>
          <w:p w:rsidR="00A91B59" w:rsidRPr="00EC05A3" w:rsidRDefault="00A91B59" w:rsidP="001817FD">
            <w:pPr>
              <w:spacing w:line="300" w:lineRule="exact"/>
              <w:jc w:val="center"/>
              <w:rPr>
                <w:rFonts w:ascii="方正书宋_GBK" w:eastAsia="方正书宋_GBK"/>
                <w:b/>
              </w:rPr>
            </w:pPr>
            <w:r>
              <w:rPr>
                <w:rFonts w:ascii="方正书宋_GBK" w:eastAsia="方正书宋_GBK" w:hint="eastAsia"/>
                <w:b/>
              </w:rPr>
              <w:t>指标值确定依据</w:t>
            </w:r>
          </w:p>
        </w:tc>
      </w:tr>
      <w:tr w:rsidR="00A91B59" w:rsidTr="00A91B59">
        <w:tblPrEx>
          <w:tblCellMar>
            <w:top w:w="0" w:type="dxa"/>
            <w:bottom w:w="0" w:type="dxa"/>
          </w:tblCellMar>
        </w:tblPrEx>
        <w:trPr>
          <w:cantSplit/>
          <w:trHeight w:val="369"/>
          <w:jc w:val="center"/>
        </w:trPr>
        <w:tc>
          <w:tcPr>
            <w:tcW w:w="602" w:type="pct"/>
            <w:vMerge w:val="restart"/>
            <w:shd w:val="clear" w:color="auto" w:fill="auto"/>
            <w:vAlign w:val="center"/>
          </w:tcPr>
          <w:p w:rsidR="00A91B59" w:rsidRPr="00EC05A3" w:rsidRDefault="00A91B59" w:rsidP="001817FD">
            <w:pPr>
              <w:spacing w:line="300" w:lineRule="exact"/>
              <w:jc w:val="center"/>
              <w:rPr>
                <w:rFonts w:ascii="方正书宋_GBK" w:eastAsia="方正书宋_GBK"/>
              </w:rPr>
            </w:pPr>
            <w:r w:rsidRPr="00EC05A3">
              <w:rPr>
                <w:rFonts w:ascii="方正书宋_GBK" w:eastAsia="方正书宋_GBK" w:hint="eastAsia"/>
              </w:rPr>
              <w:t>产出指标</w:t>
            </w:r>
          </w:p>
        </w:tc>
        <w:tc>
          <w:tcPr>
            <w:tcW w:w="602" w:type="pct"/>
            <w:shd w:val="clear" w:color="auto" w:fill="auto"/>
            <w:vAlign w:val="center"/>
          </w:tcPr>
          <w:p w:rsidR="00A91B59" w:rsidRPr="00EC05A3" w:rsidRDefault="00A91B59" w:rsidP="001817FD">
            <w:pPr>
              <w:spacing w:line="300" w:lineRule="exact"/>
              <w:jc w:val="left"/>
              <w:rPr>
                <w:rFonts w:ascii="方正书宋_GBK" w:eastAsia="方正书宋_GBK"/>
              </w:rPr>
            </w:pPr>
            <w:r w:rsidRPr="00EC05A3">
              <w:rPr>
                <w:rFonts w:ascii="方正书宋_GBK" w:eastAsia="方正书宋_GBK" w:hint="eastAsia"/>
              </w:rPr>
              <w:t>数量指标</w:t>
            </w:r>
          </w:p>
        </w:tc>
        <w:tc>
          <w:tcPr>
            <w:tcW w:w="678" w:type="pct"/>
            <w:shd w:val="clear" w:color="auto" w:fill="auto"/>
            <w:vAlign w:val="center"/>
          </w:tcPr>
          <w:p w:rsidR="00A91B59" w:rsidRPr="00EC05A3" w:rsidRDefault="00A91B59" w:rsidP="001817FD">
            <w:pPr>
              <w:spacing w:line="300" w:lineRule="exact"/>
              <w:jc w:val="left"/>
              <w:rPr>
                <w:rFonts w:ascii="方正书宋_GBK" w:eastAsia="方正书宋_GBK"/>
              </w:rPr>
            </w:pPr>
            <w:r w:rsidRPr="00EC05A3">
              <w:rPr>
                <w:rFonts w:ascii="方正书宋_GBK" w:eastAsia="方正书宋_GBK" w:hint="eastAsia"/>
              </w:rPr>
              <w:t>培训场次</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sidRPr="00EC05A3">
              <w:rPr>
                <w:rFonts w:ascii="方正书宋_GBK" w:eastAsia="方正书宋_GBK" w:hint="eastAsia"/>
              </w:rPr>
              <w:t>开展培训场次</w:t>
            </w:r>
          </w:p>
        </w:tc>
        <w:tc>
          <w:tcPr>
            <w:tcW w:w="678" w:type="pct"/>
            <w:shd w:val="clear" w:color="auto" w:fill="auto"/>
            <w:vAlign w:val="center"/>
          </w:tcPr>
          <w:p w:rsidR="00A91B59" w:rsidRPr="00EC05A3" w:rsidRDefault="00A91B59" w:rsidP="001817FD">
            <w:pPr>
              <w:spacing w:line="300" w:lineRule="exact"/>
              <w:jc w:val="left"/>
              <w:rPr>
                <w:rFonts w:ascii="方正书宋_GBK" w:eastAsia="方正书宋_GBK"/>
              </w:rPr>
            </w:pPr>
            <w:r w:rsidRPr="00EC05A3">
              <w:rPr>
                <w:rFonts w:ascii="方正书宋_GBK" w:eastAsia="方正书宋_GBK" w:hint="eastAsia"/>
              </w:rPr>
              <w:t>≥</w:t>
            </w:r>
            <w:r w:rsidRPr="00EC05A3">
              <w:rPr>
                <w:rFonts w:ascii="方正书宋_GBK" w:eastAsia="方正书宋_GBK"/>
              </w:rPr>
              <w:t>1</w:t>
            </w:r>
            <w:r w:rsidRPr="00EC05A3">
              <w:rPr>
                <w:rFonts w:ascii="方正书宋_GBK" w:eastAsia="方正书宋_GBK" w:hint="eastAsia"/>
              </w:rPr>
              <w:t>次</w:t>
            </w:r>
          </w:p>
        </w:tc>
        <w:tc>
          <w:tcPr>
            <w:tcW w:w="904" w:type="pct"/>
            <w:shd w:val="clear" w:color="auto" w:fill="auto"/>
            <w:vAlign w:val="center"/>
          </w:tcPr>
          <w:p w:rsidR="00A91B59" w:rsidRPr="00EC05A3" w:rsidRDefault="00A91B59" w:rsidP="001817FD">
            <w:pPr>
              <w:spacing w:line="300" w:lineRule="exact"/>
              <w:jc w:val="left"/>
              <w:rPr>
                <w:rFonts w:ascii="方正书宋_GBK" w:eastAsia="方正书宋_GBK"/>
              </w:rPr>
            </w:pPr>
            <w:r w:rsidRPr="00EC05A3">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质量指标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培训人员参与率</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培训人员参与率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时效指标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组织培训、举办会议</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组织培训、举办会议</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1</w:t>
            </w:r>
            <w:r>
              <w:rPr>
                <w:rFonts w:ascii="方正书宋_GBK" w:eastAsia="方正书宋_GBK" w:hint="eastAsia"/>
              </w:rPr>
              <w:t>次</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根据实际组织培训情况</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成本指标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项目预算控制数</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合理控制预算</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预算安排</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预算安排</w:t>
            </w:r>
          </w:p>
        </w:tc>
      </w:tr>
      <w:tr w:rsidR="00A91B59" w:rsidTr="00A91B59">
        <w:tblPrEx>
          <w:tblCellMar>
            <w:top w:w="0" w:type="dxa"/>
            <w:bottom w:w="0" w:type="dxa"/>
          </w:tblCellMar>
        </w:tblPrEx>
        <w:trPr>
          <w:cantSplit/>
          <w:trHeight w:val="369"/>
          <w:jc w:val="center"/>
        </w:trPr>
        <w:tc>
          <w:tcPr>
            <w:tcW w:w="602" w:type="pct"/>
            <w:vMerge w:val="restart"/>
            <w:shd w:val="clear" w:color="auto" w:fill="auto"/>
            <w:vAlign w:val="center"/>
          </w:tcPr>
          <w:p w:rsidR="00A91B59" w:rsidRDefault="00A91B59" w:rsidP="001817FD">
            <w:pPr>
              <w:spacing w:line="300" w:lineRule="exact"/>
              <w:jc w:val="center"/>
              <w:rPr>
                <w:rFonts w:ascii="方正书宋_GBK" w:eastAsia="方正书宋_GBK" w:hint="eastAsia"/>
              </w:rPr>
            </w:pPr>
            <w:r>
              <w:rPr>
                <w:rFonts w:ascii="方正书宋_GBK" w:eastAsia="方正书宋_GBK" w:hint="eastAsia"/>
              </w:rPr>
              <w:t>效益指标</w:t>
            </w: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社会效益指标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对非公有制经济人士的培养，促进非公经济发展</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对非公有制经济人士的培养，促进非公经济发展</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取得的实际效果</w:t>
            </w:r>
          </w:p>
        </w:tc>
      </w:tr>
      <w:tr w:rsidR="00A91B59" w:rsidTr="00A91B59">
        <w:tblPrEx>
          <w:tblCellMar>
            <w:top w:w="0" w:type="dxa"/>
            <w:bottom w:w="0" w:type="dxa"/>
          </w:tblCellMar>
        </w:tblPrEx>
        <w:trPr>
          <w:cantSplit/>
          <w:trHeight w:val="369"/>
          <w:jc w:val="center"/>
        </w:trPr>
        <w:tc>
          <w:tcPr>
            <w:tcW w:w="602" w:type="pct"/>
            <w:vMerge/>
            <w:shd w:val="clear" w:color="auto" w:fill="auto"/>
            <w:vAlign w:val="center"/>
          </w:tcPr>
          <w:p w:rsidR="00A91B59" w:rsidRDefault="00A91B59" w:rsidP="001817FD">
            <w:pPr>
              <w:spacing w:line="300" w:lineRule="exact"/>
              <w:jc w:val="center"/>
              <w:rPr>
                <w:rFonts w:ascii="方正书宋_GBK" w:eastAsia="方正书宋_GBK" w:hint="eastAsia"/>
              </w:rPr>
            </w:pP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可持续影响指标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提升工商联形象</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提升形象，持续健康发展</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取得的实际效果</w:t>
            </w:r>
          </w:p>
        </w:tc>
      </w:tr>
      <w:tr w:rsidR="00A91B59" w:rsidTr="00A91B59">
        <w:tblPrEx>
          <w:tblCellMar>
            <w:top w:w="0" w:type="dxa"/>
            <w:bottom w:w="0" w:type="dxa"/>
          </w:tblCellMar>
        </w:tblPrEx>
        <w:trPr>
          <w:cantSplit/>
          <w:trHeight w:val="369"/>
          <w:jc w:val="center"/>
        </w:trPr>
        <w:tc>
          <w:tcPr>
            <w:tcW w:w="602" w:type="pct"/>
            <w:shd w:val="clear" w:color="auto" w:fill="auto"/>
            <w:vAlign w:val="center"/>
          </w:tcPr>
          <w:p w:rsidR="00A91B59" w:rsidRDefault="00A91B59" w:rsidP="001817FD">
            <w:pPr>
              <w:spacing w:line="300" w:lineRule="exact"/>
              <w:jc w:val="center"/>
              <w:rPr>
                <w:rFonts w:ascii="方正书宋_GBK" w:eastAsia="方正书宋_GBK" w:hint="eastAsia"/>
              </w:rPr>
            </w:pPr>
            <w:r>
              <w:rPr>
                <w:rFonts w:ascii="方正书宋_GBK" w:eastAsia="方正书宋_GBK" w:hint="eastAsia"/>
              </w:rPr>
              <w:t>满意度指标</w:t>
            </w:r>
          </w:p>
        </w:tc>
        <w:tc>
          <w:tcPr>
            <w:tcW w:w="602"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服务对象满意度指标</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参与人员满意度</w:t>
            </w:r>
          </w:p>
        </w:tc>
        <w:tc>
          <w:tcPr>
            <w:tcW w:w="1536" w:type="pct"/>
            <w:shd w:val="clear" w:color="auto" w:fill="auto"/>
            <w:vAlign w:val="center"/>
          </w:tcPr>
          <w:p w:rsidR="00A91B59" w:rsidRPr="00EC05A3" w:rsidRDefault="00A91B59" w:rsidP="001817FD">
            <w:pPr>
              <w:spacing w:line="300" w:lineRule="exact"/>
              <w:jc w:val="left"/>
              <w:rPr>
                <w:rFonts w:ascii="方正书宋_GBK" w:eastAsia="方正书宋_GBK"/>
              </w:rPr>
            </w:pPr>
            <w:r>
              <w:rPr>
                <w:rFonts w:ascii="方正书宋_GBK" w:eastAsia="方正书宋_GBK" w:hint="eastAsia"/>
              </w:rPr>
              <w:t>参与人员满意度</w:t>
            </w:r>
          </w:p>
        </w:tc>
        <w:tc>
          <w:tcPr>
            <w:tcW w:w="678"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904" w:type="pct"/>
            <w:shd w:val="clear" w:color="auto" w:fill="auto"/>
            <w:vAlign w:val="center"/>
          </w:tcPr>
          <w:p w:rsidR="00A91B59" w:rsidRDefault="00A91B59" w:rsidP="001817FD">
            <w:pPr>
              <w:spacing w:line="300" w:lineRule="exact"/>
              <w:jc w:val="left"/>
              <w:rPr>
                <w:rFonts w:ascii="方正书宋_GBK" w:eastAsia="方正书宋_GBK" w:hint="eastAsia"/>
              </w:rPr>
            </w:pPr>
            <w:r>
              <w:rPr>
                <w:rFonts w:ascii="方正书宋_GBK" w:eastAsia="方正书宋_GBK" w:hint="eastAsia"/>
              </w:rPr>
              <w:t>根据实际调查、询问</w:t>
            </w:r>
          </w:p>
        </w:tc>
      </w:tr>
    </w:tbl>
    <w:p w:rsidR="00A91B59" w:rsidRDefault="00A91B59" w:rsidP="00A91B59">
      <w:pPr>
        <w:spacing w:line="300" w:lineRule="exact"/>
        <w:jc w:val="left"/>
        <w:sectPr w:rsidR="00A91B59" w:rsidSect="00A91B59">
          <w:pgSz w:w="16839" w:h="11907" w:orient="landscape"/>
          <w:pgMar w:top="1304" w:right="1134" w:bottom="1304" w:left="1984" w:header="851" w:footer="992" w:gutter="0"/>
          <w:cols w:space="425"/>
          <w:docGrid w:type="lines" w:linePitch="312"/>
        </w:sectPr>
      </w:pPr>
    </w:p>
    <w:p w:rsidR="00D347CC" w:rsidRDefault="00D347CC">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A91B59">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2"/>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741520">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sidR="00A91B59">
              <w:rPr>
                <w:rFonts w:ascii="方正小标宋_GBK" w:eastAsia="方正小标宋_GBK" w:hint="eastAsia"/>
                <w:sz w:val="24"/>
              </w:rPr>
              <w:t>工商业联合会</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footerReference w:type="default" r:id="rId6"/>
          <w:pgSz w:w="16839" w:h="11907" w:orient="landscape"/>
          <w:pgMar w:top="1361" w:right="1020" w:bottom="1361" w:left="1020" w:header="851" w:footer="992" w:gutter="0"/>
          <w:cols w:space="720"/>
          <w:docGrid w:type="line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A91B59" w:rsidRDefault="00A91B59" w:rsidP="00A91B59">
      <w:pPr>
        <w:spacing w:line="584" w:lineRule="exact"/>
        <w:ind w:firstLine="640"/>
        <w:rPr>
          <w:rFonts w:ascii="Times New Roman" w:eastAsia="仿宋_GB2312" w:hAnsi="Times New Roman"/>
          <w:sz w:val="32"/>
          <w:szCs w:val="32"/>
        </w:rPr>
      </w:pPr>
      <w:r>
        <w:rPr>
          <w:rFonts w:ascii="Times New Roman" w:eastAsia="仿宋_GB2312" w:hAnsi="Times New Roman"/>
          <w:sz w:val="32"/>
          <w:szCs w:val="32"/>
        </w:rPr>
        <w:t>香河县</w:t>
      </w:r>
      <w:r>
        <w:rPr>
          <w:rFonts w:ascii="Times New Roman" w:eastAsia="仿宋_GB2312" w:hAnsi="Times New Roman" w:hint="eastAsia"/>
          <w:sz w:val="32"/>
          <w:szCs w:val="32"/>
        </w:rPr>
        <w:t>工商业联合会</w:t>
      </w:r>
      <w:r>
        <w:rPr>
          <w:rFonts w:ascii="Times New Roman" w:eastAsia="仿宋_GB2312" w:hAnsi="Times New Roman"/>
          <w:sz w:val="32"/>
          <w:szCs w:val="32"/>
        </w:rPr>
        <w:t>上年末固定资产金额为</w:t>
      </w:r>
      <w:r>
        <w:rPr>
          <w:rFonts w:ascii="Times New Roman" w:eastAsia="仿宋_GB2312" w:hAnsi="Times New Roman" w:hint="eastAsia"/>
          <w:sz w:val="32"/>
          <w:szCs w:val="32"/>
        </w:rPr>
        <w:t>0</w:t>
      </w:r>
      <w:r>
        <w:rPr>
          <w:rFonts w:ascii="Times New Roman" w:eastAsia="仿宋_GB2312" w:hAnsi="Times New Roman"/>
          <w:sz w:val="32"/>
          <w:szCs w:val="32"/>
        </w:rPr>
        <w:t>万元，本年度</w:t>
      </w:r>
      <w:r>
        <w:rPr>
          <w:rFonts w:ascii="Times New Roman" w:eastAsia="仿宋_GB2312" w:hAnsi="Times New Roman" w:hint="eastAsia"/>
          <w:sz w:val="32"/>
          <w:szCs w:val="32"/>
        </w:rPr>
        <w:t>未作安排</w:t>
      </w:r>
      <w:r>
        <w:rPr>
          <w:rFonts w:ascii="Times New Roman" w:eastAsia="仿宋_GB2312" w:hAnsi="Times New Roman"/>
          <w:sz w:val="32"/>
          <w:szCs w:val="32"/>
        </w:rPr>
        <w:t>。</w:t>
      </w: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sidR="00A91B59">
              <w:rPr>
                <w:rFonts w:ascii="Times New Roman" w:eastAsia="仿宋_GB2312" w:hAnsi="Times New Roman" w:cs="Times New Roman" w:hint="eastAsia"/>
                <w:kern w:val="0"/>
                <w:sz w:val="22"/>
              </w:rPr>
              <w:t>工商业联合会</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sidR="00A91B59">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B47" w:rsidRDefault="006B5B47" w:rsidP="00D347CC">
      <w:r>
        <w:separator/>
      </w:r>
    </w:p>
  </w:endnote>
  <w:endnote w:type="continuationSeparator" w:id="1">
    <w:p w:rsidR="006B5B47" w:rsidRDefault="006B5B47"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C" w:rsidRDefault="00B80935">
    <w:pPr>
      <w:pStyle w:val="a4"/>
      <w:jc w:val="center"/>
    </w:pPr>
    <w:r>
      <w:rPr>
        <w:rFonts w:hint="eastAsia"/>
      </w:rPr>
      <w:t>-</w:t>
    </w:r>
    <w:r w:rsidR="00456DCD" w:rsidRPr="00456DCD">
      <w:fldChar w:fldCharType="begin"/>
    </w:r>
    <w:r>
      <w:instrText>PAGE   \* MERGEFORMAT</w:instrText>
    </w:r>
    <w:r w:rsidR="00456DCD" w:rsidRPr="00456DCD">
      <w:fldChar w:fldCharType="separate"/>
    </w:r>
    <w:r w:rsidR="00436881" w:rsidRPr="00436881">
      <w:rPr>
        <w:noProof/>
        <w:lang w:val="zh-CN"/>
      </w:rPr>
      <w:t>11</w:t>
    </w:r>
    <w:r w:rsidR="00456DCD">
      <w:rPr>
        <w:lang w:val="zh-CN"/>
      </w:rPr>
      <w:fldChar w:fldCharType="end"/>
    </w:r>
    <w:r>
      <w:rPr>
        <w:rFonts w:hint="eastAsia"/>
      </w:rPr>
      <w:t>-</w:t>
    </w:r>
  </w:p>
  <w:p w:rsidR="00D347CC" w:rsidRDefault="00D34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B47" w:rsidRDefault="006B5B47" w:rsidP="00D347CC">
      <w:r>
        <w:separator/>
      </w:r>
    </w:p>
  </w:footnote>
  <w:footnote w:type="continuationSeparator" w:id="1">
    <w:p w:rsidR="006B5B47" w:rsidRDefault="006B5B47"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D347CC"/>
    <w:rsid w:val="00007D86"/>
    <w:rsid w:val="001C1ECC"/>
    <w:rsid w:val="002C7716"/>
    <w:rsid w:val="00436881"/>
    <w:rsid w:val="00456DCD"/>
    <w:rsid w:val="004A34CA"/>
    <w:rsid w:val="004A54AA"/>
    <w:rsid w:val="004F2381"/>
    <w:rsid w:val="005174E4"/>
    <w:rsid w:val="005E6BDC"/>
    <w:rsid w:val="006B5B47"/>
    <w:rsid w:val="00741520"/>
    <w:rsid w:val="008B1F94"/>
    <w:rsid w:val="00940421"/>
    <w:rsid w:val="009C0E60"/>
    <w:rsid w:val="00A05D86"/>
    <w:rsid w:val="00A91B59"/>
    <w:rsid w:val="00AB1BD0"/>
    <w:rsid w:val="00AC06ED"/>
    <w:rsid w:val="00B80935"/>
    <w:rsid w:val="00B81206"/>
    <w:rsid w:val="00D347CC"/>
    <w:rsid w:val="00EE67B1"/>
    <w:rsid w:val="00F85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8857</TotalTime>
  <Pages>11</Pages>
  <Words>780</Words>
  <Characters>4449</Characters>
  <Application>Microsoft Office Word</Application>
  <DocSecurity>0</DocSecurity>
  <Lines>37</Lines>
  <Paragraphs>10</Paragraphs>
  <ScaleCrop>false</ScaleCrop>
  <Company>Microsoft</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89</cp:revision>
  <cp:lastPrinted>2018-01-30T06:12:00Z</cp:lastPrinted>
  <dcterms:created xsi:type="dcterms:W3CDTF">2020-01-13T03:27:00Z</dcterms:created>
  <dcterms:modified xsi:type="dcterms:W3CDTF">2021-04-09T08:24:00Z</dcterms:modified>
</cp:coreProperties>
</file>